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pPr>
      <w:r>
        <w:rPr>
          <w:rFonts w:ascii="Liberation Sans" w:hAnsi="Liberation Sans"/>
          <w:b/>
          <w:color w:val="00B8C9"/>
          <w:sz w:val="16"/>
        </w:rPr>
        <w:t>03 / TECHNICAL PRODUCT</w:t>
      </w:r>
    </w:p>
    <w:p>
      <w:pPr>
        <w:pStyle w:val="Title"/>
      </w:pPr>
      <w:r>
        <w:rPr>
          <w:rFonts w:ascii="Liberation Sans" w:hAnsi="Liberation Sans"/>
          <w:b/>
          <w:color w:val="111317"/>
          <w:sz w:val="58"/>
        </w:rPr>
        <w:t>Automating local-market research into enriched and prioritized commercial intelligence</w:t>
      </w:r>
    </w:p>
    <w:p>
      <w:pPr>
        <w:spacing w:after="240"/>
      </w:pPr>
      <w:r>
        <w:rPr>
          <w:rFonts w:ascii="Liberation Sans" w:hAnsi="Liberation Sans"/>
          <w:b w:val="0"/>
          <w:color w:val="5F6872"/>
          <w:sz w:val="24"/>
        </w:rPr>
        <w:t>A modular Python acquisition and enrichment system that converts public business information into normalized, deduplicated and ranked prospect data.</w:t>
      </w:r>
    </w:p>
    <w:tbl>
      <w:tblPr>
        <w:tblW w:type="auto" w:w="0"/>
        <w:jc w:val="center"/>
        <w:tblLook w:firstColumn="1" w:firstRow="1" w:lastColumn="0" w:lastRow="0" w:noHBand="0" w:noVBand="1" w:val="04A0"/>
      </w:tblPr>
      <w:tblGrid>
        <w:gridCol w:w="2592"/>
        <w:gridCol w:w="2592"/>
        <w:gridCol w:w="2592"/>
        <w:gridCol w:w="2592"/>
      </w:tblGrid>
      <w:tr>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STATUS</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TEAM</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DEMO</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SOURCE</w:t>
            </w:r>
          </w:p>
        </w:tc>
      </w:tr>
      <w:tr>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Working technical demonstration · Quality hardening</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Solo engineering project</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Controlled demo planned</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Private repository</w:t>
            </w:r>
          </w:p>
        </w:tc>
      </w:tr>
    </w:tbl>
    <w:p/>
    <w:p>
      <w:pPr>
        <w:jc w:val="center"/>
      </w:pPr>
      <w:r>
        <w:drawing>
          <wp:inline xmlns:a="http://schemas.openxmlformats.org/drawingml/2006/main" xmlns:pic="http://schemas.openxmlformats.org/drawingml/2006/picture">
            <wp:extent cx="3888000" cy="3240000"/>
            <wp:docPr id="1" name="Picture 1"/>
            <wp:cNvGraphicFramePr>
              <a:graphicFrameLocks noChangeAspect="1"/>
            </wp:cNvGraphicFramePr>
            <a:graphic>
              <a:graphicData uri="http://schemas.openxmlformats.org/drawingml/2006/picture">
                <pic:pic>
                  <pic:nvPicPr>
                    <pic:cNvPr id="0" name="desktop-project2-cli.png"/>
                    <pic:cNvPicPr/>
                  </pic:nvPicPr>
                  <pic:blipFill>
                    <a:blip r:embed="rId11"/>
                    <a:stretch>
                      <a:fillRect/>
                    </a:stretch>
                  </pic:blipFill>
                  <pic:spPr>
                    <a:xfrm>
                      <a:off x="0" y="0"/>
                      <a:ext cx="3888000" cy="3240000"/>
                    </a:xfrm>
                    <a:prstGeom prst="rect"/>
                  </pic:spPr>
                </pic:pic>
              </a:graphicData>
            </a:graphic>
          </wp:inline>
        </w:drawing>
      </w:r>
    </w:p>
    <w:p>
      <w:pPr>
        <w:spacing w:after="160"/>
        <w:jc w:val="center"/>
      </w:pPr>
      <w:r>
        <w:rPr>
          <w:rFonts w:ascii="Liberation Sans" w:hAnsi="Liberation Sans"/>
          <w:b w:val="0"/>
          <w:color w:val="5F6872"/>
          <w:sz w:val="15"/>
        </w:rPr>
        <w:t>Primary visual evidence</w:t>
      </w:r>
    </w:p>
    <w:p>
      <w:pPr>
        <w:jc w:val="center"/>
      </w:pPr>
      <w:r>
        <w:rPr>
          <w:rFonts w:ascii="Liberation Sans" w:hAnsi="Liberation Sans"/>
          <w:b/>
          <w:color w:val="00B8C9"/>
          <w:sz w:val="16"/>
        </w:rPr>
        <w:t>ANASS BENAMEUR · FULL-STACK PRODUCT ENGINEER</w:t>
      </w:r>
    </w:p>
    <w:p>
      <w:r>
        <w:br w:type="page"/>
      </w:r>
    </w:p>
    <w:p>
      <w:pPr>
        <w:spacing w:after="60"/>
      </w:pPr>
      <w:r>
        <w:rPr>
          <w:rFonts w:ascii="Liberation Sans" w:hAnsi="Liberation Sans"/>
          <w:b/>
          <w:color w:val="00B8C9"/>
          <w:sz w:val="16"/>
        </w:rPr>
        <w:t>EXECUTIVE SUMMARY</w:t>
      </w:r>
    </w:p>
    <w:p>
      <w:pPr>
        <w:pStyle w:val="Heading1"/>
      </w:pPr>
      <w:r>
        <w:t>The product, the problem and the proof</w:t>
      </w:r>
    </w:p>
    <w:p>
      <w:pPr>
        <w:jc w:val="both"/>
      </w:pPr>
      <w:r>
        <w:rPr>
          <w:rFonts w:ascii="Liberation Sans" w:hAnsi="Liberation Sans"/>
          <w:b w:val="0"/>
          <w:color w:val="111317"/>
          <w:sz w:val="19"/>
        </w:rPr>
        <w:t>Manual local-market research is repetitive in a way that doesn't reward care: search, open each listing, check the website, copy fields into a spreadsheet, notice duplicates two hundred rows later. I built a modular Python engine that does that acquisition and enrichment work end to end — collecting public local-business listings, enriching each one from its own website, deduplicating, and scoring the result so a reviewer starts with the businesses worth calling, not an alphabetical dump.</w:t>
      </w:r>
    </w:p>
    <w:tbl>
      <w:tblPr>
        <w:tblW w:type="auto" w:w="0"/>
        <w:jc w:val="center"/>
        <w:tblLayout w:type="autofit"/>
        <w:tblLook w:firstColumn="1" w:firstRow="1" w:lastColumn="0" w:lastRow="0" w:noHBand="0" w:noVBand="1" w:val="04A0"/>
      </w:tblPr>
      <w:tblGrid>
        <w:gridCol w:w="2592"/>
        <w:gridCol w:w="2592"/>
        <w:gridCol w:w="2592"/>
        <w:gridCol w:w="2592"/>
      </w:tblGrid>
      <w:tr>
        <w:tc>
          <w:tcPr>
            <w:tcW w:type="dxa" w:w="2592"/>
            <w:shd w:fill="F5F7F8"/>
            <w:tcBorders>
              <w:top w:val="single" w:sz="5" w:color="DDE3E6"/>
              <w:left w:val="single" w:sz="5" w:color="DDE3E6"/>
              <w:bottom w:val="single" w:sz="5" w:color="DDE3E6"/>
              <w:right w:val="single" w:sz="5" w:color="DDE3E6"/>
            </w:tcBorders>
            <w:tcMar>
              <w:top w:w="150" w:type="dxa"/>
              <w:start w:w="150" w:type="dxa"/>
              <w:bottom w:w="150" w:type="dxa"/>
              <w:end w:w="150" w:type="dxa"/>
            </w:tcMar>
            <w:vAlign w:val="center"/>
          </w:tcPr>
          <w:p>
            <w:pPr>
              <w:jc w:val="left"/>
            </w:pPr>
            <w:r>
              <w:rPr>
                <w:rFonts w:ascii="Liberation Sans" w:hAnsi="Liberation Sans"/>
                <w:b/>
                <w:color w:val="111317"/>
                <w:sz w:val="34"/>
              </w:rPr>
              <w:t>297</w:t>
            </w:r>
          </w:p>
          <w:p>
            <w:pPr>
              <w:spacing w:after="0"/>
            </w:pPr>
            <w:r>
              <w:rPr>
                <w:rFonts w:ascii="Liberation Sans" w:hAnsi="Liberation Sans"/>
                <w:b/>
                <w:color w:val="5F6872"/>
                <w:sz w:val="14"/>
              </w:rPr>
              <w:t>UNIQUE RECORDS IN SUPPLIED DEMO</w:t>
            </w:r>
          </w:p>
        </w:tc>
        <w:tc>
          <w:tcPr>
            <w:tcW w:type="dxa" w:w="2592"/>
            <w:shd w:fill="F5F7F8"/>
            <w:tcBorders>
              <w:top w:val="single" w:sz="5" w:color="DDE3E6"/>
              <w:left w:val="single" w:sz="5" w:color="DDE3E6"/>
              <w:bottom w:val="single" w:sz="5" w:color="DDE3E6"/>
              <w:right w:val="single" w:sz="5" w:color="DDE3E6"/>
            </w:tcBorders>
            <w:tcMar>
              <w:top w:w="150" w:type="dxa"/>
              <w:start w:w="150" w:type="dxa"/>
              <w:bottom w:w="150" w:type="dxa"/>
              <w:end w:w="150" w:type="dxa"/>
            </w:tcMar>
            <w:vAlign w:val="center"/>
          </w:tcPr>
          <w:p>
            <w:pPr>
              <w:jc w:val="left"/>
            </w:pPr>
            <w:r>
              <w:rPr>
                <w:rFonts w:ascii="Liberation Sans" w:hAnsi="Liberation Sans"/>
                <w:b/>
                <w:color w:val="111317"/>
                <w:sz w:val="34"/>
              </w:rPr>
              <w:t>38</w:t>
            </w:r>
          </w:p>
          <w:p>
            <w:pPr>
              <w:spacing w:after="0"/>
            </w:pPr>
            <w:r>
              <w:rPr>
                <w:rFonts w:ascii="Liberation Sans" w:hAnsi="Liberation Sans"/>
                <w:b/>
                <w:color w:val="5F6872"/>
                <w:sz w:val="14"/>
              </w:rPr>
              <w:t>NORMALIZED FIELDS</w:t>
            </w:r>
          </w:p>
        </w:tc>
        <w:tc>
          <w:tcPr>
            <w:tcW w:type="dxa" w:w="2592"/>
            <w:shd w:fill="F5F7F8"/>
            <w:tcBorders>
              <w:top w:val="single" w:sz="5" w:color="DDE3E6"/>
              <w:left w:val="single" w:sz="5" w:color="DDE3E6"/>
              <w:bottom w:val="single" w:sz="5" w:color="DDE3E6"/>
              <w:right w:val="single" w:sz="5" w:color="DDE3E6"/>
            </w:tcBorders>
            <w:tcMar>
              <w:top w:w="150" w:type="dxa"/>
              <w:start w:w="150" w:type="dxa"/>
              <w:bottom w:w="150" w:type="dxa"/>
              <w:end w:w="150" w:type="dxa"/>
            </w:tcMar>
            <w:vAlign w:val="center"/>
          </w:tcPr>
          <w:p>
            <w:pPr>
              <w:jc w:val="left"/>
            </w:pPr>
            <w:r>
              <w:rPr>
                <w:rFonts w:ascii="Liberation Sans" w:hAnsi="Liberation Sans"/>
                <w:b/>
                <w:color w:val="111317"/>
                <w:sz w:val="34"/>
              </w:rPr>
              <w:t>95.6%</w:t>
            </w:r>
          </w:p>
          <w:p>
            <w:pPr>
              <w:spacing w:after="0"/>
            </w:pPr>
            <w:r>
              <w:rPr>
                <w:rFonts w:ascii="Liberation Sans" w:hAnsi="Liberation Sans"/>
                <w:b/>
                <w:color w:val="5F6872"/>
                <w:sz w:val="14"/>
              </w:rPr>
              <w:t>PHONE COVERAGE IN DEMO</w:t>
            </w:r>
          </w:p>
        </w:tc>
        <w:tc>
          <w:tcPr>
            <w:tcW w:type="dxa" w:w="2592"/>
            <w:shd w:fill="F5F7F8"/>
            <w:tcBorders>
              <w:top w:val="single" w:sz="5" w:color="DDE3E6"/>
              <w:left w:val="single" w:sz="5" w:color="DDE3E6"/>
              <w:bottom w:val="single" w:sz="5" w:color="DDE3E6"/>
              <w:right w:val="single" w:sz="5" w:color="DDE3E6"/>
            </w:tcBorders>
            <w:tcMar>
              <w:top w:w="150" w:type="dxa"/>
              <w:start w:w="150" w:type="dxa"/>
              <w:bottom w:w="150" w:type="dxa"/>
              <w:end w:w="150" w:type="dxa"/>
            </w:tcMar>
            <w:vAlign w:val="center"/>
          </w:tcPr>
          <w:p>
            <w:pPr>
              <w:jc w:val="left"/>
            </w:pPr>
            <w:r>
              <w:rPr>
                <w:rFonts w:ascii="Liberation Sans" w:hAnsi="Liberation Sans"/>
                <w:b/>
                <w:color w:val="111317"/>
                <w:sz w:val="34"/>
              </w:rPr>
              <w:t>98.0%</w:t>
            </w:r>
          </w:p>
          <w:p>
            <w:pPr>
              <w:spacing w:after="0"/>
            </w:pPr>
            <w:r>
              <w:rPr>
                <w:rFonts w:ascii="Liberation Sans" w:hAnsi="Liberation Sans"/>
                <w:b/>
                <w:color w:val="5F6872"/>
                <w:sz w:val="14"/>
              </w:rPr>
              <w:t>COORDINATE COVERAGE IN DEMO</w:t>
            </w:r>
          </w:p>
        </w:tc>
      </w:tr>
    </w:tbl>
    <w:p>
      <w:pPr>
        <w:spacing w:after="20"/>
      </w:pPr>
    </w:p>
    <w:p>
      <w:pPr>
        <w:pStyle w:val="Heading2"/>
      </w:pPr>
      <w:r>
        <w:t>Context</w:t>
      </w:r>
    </w:p>
    <w:p>
      <w:pPr>
        <w:jc w:val="both"/>
      </w:pPr>
      <w:r>
        <w:rPr>
          <w:rFonts w:ascii="Liberation Sans" w:hAnsi="Liberation Sans"/>
          <w:b w:val="0"/>
          <w:color w:val="111317"/>
          <w:sz w:val="19"/>
        </w:rPr>
        <w:t>Built for prospect-research workflows: a team needs to know which local businesses are active, whether they have a real web presence, and which ones are worth prioritizing, with a GUI for a one-off research pass and a CLI for repeatable, automatable jobs. It is the acquisition-mechanics counterpart to the other data platforms in this portfolio: where the ATS Intelligence Engine solves normalization across ten APIs and Signal Intelligence solves evidence lineage across many source families, this project is about the raw mechanics of collecting and enriching public listing data reliably at volume.</w:t>
      </w:r>
    </w:p>
    <w:p>
      <w:pPr>
        <w:pStyle w:val="Heading2"/>
      </w:pPr>
      <w:r>
        <w:t>My role and ownership</w:t>
      </w:r>
    </w:p>
    <w:p>
      <w:pPr>
        <w:pStyle w:val="ListBullet"/>
        <w:spacing w:after="60"/>
      </w:pPr>
      <w:r>
        <w:rPr>
          <w:rFonts w:ascii="Liberation Sans" w:hAnsi="Liberation Sans"/>
          <w:b w:val="0"/>
          <w:color w:val="111317"/>
          <w:sz w:val="18"/>
        </w:rPr>
        <w:t>System architecture and module separation</w:t>
      </w:r>
    </w:p>
    <w:p>
      <w:pPr>
        <w:pStyle w:val="ListBullet"/>
        <w:spacing w:after="60"/>
      </w:pPr>
      <w:r>
        <w:rPr>
          <w:rFonts w:ascii="Liberation Sans" w:hAnsi="Liberation Sans"/>
          <w:b w:val="0"/>
          <w:color w:val="111317"/>
          <w:sz w:val="18"/>
        </w:rPr>
        <w:t>Browser acquisition and concurrent orchestration</w:t>
      </w:r>
    </w:p>
    <w:p>
      <w:pPr>
        <w:pStyle w:val="ListBullet"/>
        <w:spacing w:after="60"/>
      </w:pPr>
      <w:r>
        <w:rPr>
          <w:rFonts w:ascii="Liberation Sans" w:hAnsi="Liberation Sans"/>
          <w:b w:val="0"/>
          <w:color w:val="111317"/>
          <w:sz w:val="18"/>
        </w:rPr>
        <w:t>Sitemap/BFS website enrichment crawler</w:t>
      </w:r>
    </w:p>
    <w:p>
      <w:pPr>
        <w:pStyle w:val="ListBullet"/>
        <w:spacing w:after="60"/>
      </w:pPr>
      <w:r>
        <w:rPr>
          <w:rFonts w:ascii="Liberation Sans" w:hAnsi="Liberation Sans"/>
          <w:b w:val="0"/>
          <w:color w:val="111317"/>
          <w:sz w:val="18"/>
        </w:rPr>
        <w:t>Normalization, deduplication and scoring logic</w:t>
      </w:r>
    </w:p>
    <w:p>
      <w:pPr>
        <w:pStyle w:val="ListBullet"/>
        <w:spacing w:after="60"/>
      </w:pPr>
      <w:r>
        <w:rPr>
          <w:rFonts w:ascii="Liberation Sans" w:hAnsi="Liberation Sans"/>
          <w:b w:val="0"/>
          <w:color w:val="111317"/>
          <w:sz w:val="18"/>
        </w:rPr>
        <w:t>GUI, CLI, checkpointing and multi-format exports</w:t>
      </w:r>
    </w:p>
    <w:p>
      <w:pPr>
        <w:pStyle w:val="Heading2"/>
      </w:pPr>
      <w:r>
        <w:t>Personal contribution</w:t>
      </w:r>
    </w:p>
    <w:p>
      <w:pPr>
        <w:jc w:val="both"/>
      </w:pPr>
      <w:r>
        <w:rPr>
          <w:rFonts w:ascii="Liberation Sans" w:hAnsi="Liberation Sans"/>
          <w:b w:val="0"/>
          <w:color w:val="111317"/>
          <w:sz w:val="19"/>
        </w:rPr>
        <w:t>Architecture, acquisition, enrichment, scoring, reliability, GUI, CLI and exports.</w:t>
      </w:r>
    </w:p>
    <w:p>
      <w:r>
        <w:br w:type="page"/>
      </w:r>
    </w:p>
    <w:p>
      <w:pPr>
        <w:spacing w:after="60"/>
      </w:pPr>
      <w:r>
        <w:rPr>
          <w:rFonts w:ascii="Liberation Sans" w:hAnsi="Liberation Sans"/>
          <w:b/>
          <w:color w:val="00B8C9"/>
          <w:sz w:val="16"/>
        </w:rPr>
        <w:t>PROBLEM</w:t>
      </w:r>
    </w:p>
    <w:p>
      <w:pPr>
        <w:pStyle w:val="Heading1"/>
      </w:pPr>
      <w:r>
        <w:t>Why the existing workflow needed a system</w:t>
      </w:r>
    </w:p>
    <w:p>
      <w:pPr>
        <w:jc w:val="both"/>
      </w:pPr>
      <w:r>
        <w:rPr>
          <w:rFonts w:ascii="Liberation Sans" w:hAnsi="Liberation Sans"/>
          <w:b w:val="0"/>
          <w:color w:val="111317"/>
          <w:sz w:val="19"/>
        </w:rPr>
        <w:t>Listing pages expose data in inconsistent, semi-structured form. Company websites hide contact information in different places — footer, contact page, a link buried three clicks deep in a menu. Repeated searches produce duplicate entries that quietly inflate a dataset. And a raw list of business names tells you nothing about which ones are actually reachable or worth a call, which is the only question that matters commercially once the research is done.</w:t>
      </w:r>
    </w:p>
    <w:p>
      <w:pPr>
        <w:pStyle w:val="Heading2"/>
      </w:pPr>
      <w:r>
        <w:t>Before and after</w:t>
      </w:r>
    </w:p>
    <w:tbl>
      <w:tblPr>
        <w:tblW w:type="auto" w:w="0"/>
        <w:jc w:val="center"/>
        <w:tblLook w:firstColumn="1" w:firstRow="1" w:lastColumn="0" w:lastRow="0" w:noHBand="0" w:noVBand="1" w:val="04A0"/>
      </w:tblPr>
      <w:tblGrid>
        <w:gridCol w:w="5185"/>
        <w:gridCol w:w="5185"/>
      </w:tblGrid>
      <w:tr>
        <w:tc>
          <w:tcPr>
            <w:tcW w:type="dxa" w:w="5185"/>
            <w:shd w:fill="FFF2F2"/>
            <w:tcBorders>
              <w:top w:val="single" w:sz="6" w:color="DDE3E6"/>
              <w:left w:val="single" w:sz="6" w:color="DDE3E6"/>
              <w:bottom w:val="single" w:sz="6" w:color="DDE3E6"/>
              <w:right w:val="single" w:sz="6" w:color="DDE3E6"/>
            </w:tcBorders>
            <w:tcMar>
              <w:top w:w="160" w:type="dxa"/>
              <w:start w:w="180" w:type="dxa"/>
              <w:bottom w:w="160" w:type="dxa"/>
              <w:end w:w="180" w:type="dxa"/>
            </w:tcMar>
          </w:tcPr>
          <w:p>
            <w:r>
              <w:rPr>
                <w:rFonts w:ascii="Liberation Sans" w:hAnsi="Liberation Sans"/>
                <w:b/>
                <w:color w:val="C84B4B"/>
                <w:sz w:val="20"/>
              </w:rPr>
              <w:t>BEFORE</w:t>
            </w:r>
          </w:p>
          <w:p>
            <w:pPr>
              <w:spacing w:after="80"/>
              <w:ind w:left="85"/>
            </w:pPr>
            <w:r>
              <w:rPr>
                <w:rFonts w:ascii="Liberation Sans" w:hAnsi="Liberation Sans"/>
                <w:b/>
                <w:color w:val="C84B4B"/>
                <w:sz w:val="18"/>
              </w:rPr>
              <w:t xml:space="preserve">• </w:t>
            </w:r>
            <w:r>
              <w:rPr>
                <w:rFonts w:ascii="Liberation Sans" w:hAnsi="Liberation Sans"/>
                <w:b w:val="0"/>
                <w:color w:val="111317"/>
                <w:sz w:val="17"/>
              </w:rPr>
              <w:t>Repeated manual searches and profile opening</w:t>
            </w:r>
          </w:p>
          <w:p>
            <w:pPr>
              <w:spacing w:after="80"/>
              <w:ind w:left="85"/>
            </w:pPr>
            <w:r>
              <w:rPr>
                <w:rFonts w:ascii="Liberation Sans" w:hAnsi="Liberation Sans"/>
                <w:b/>
                <w:color w:val="C84B4B"/>
                <w:sz w:val="18"/>
              </w:rPr>
              <w:t xml:space="preserve">• </w:t>
            </w:r>
            <w:r>
              <w:rPr>
                <w:rFonts w:ascii="Liberation Sans" w:hAnsi="Liberation Sans"/>
                <w:b w:val="0"/>
                <w:color w:val="111317"/>
                <w:sz w:val="17"/>
              </w:rPr>
              <w:t>Inconsistent contact, location and reputation fields</w:t>
            </w:r>
          </w:p>
          <w:p>
            <w:pPr>
              <w:spacing w:after="80"/>
              <w:ind w:left="85"/>
            </w:pPr>
            <w:r>
              <w:rPr>
                <w:rFonts w:ascii="Liberation Sans" w:hAnsi="Liberation Sans"/>
                <w:b/>
                <w:color w:val="C84B4B"/>
                <w:sz w:val="18"/>
              </w:rPr>
              <w:t xml:space="preserve">• </w:t>
            </w:r>
            <w:r>
              <w:rPr>
                <w:rFonts w:ascii="Liberation Sans" w:hAnsi="Liberation Sans"/>
                <w:b w:val="0"/>
                <w:color w:val="111317"/>
                <w:sz w:val="17"/>
              </w:rPr>
              <w:t>No systematic enrichment from company websites</w:t>
            </w:r>
          </w:p>
          <w:p>
            <w:pPr>
              <w:spacing w:after="80"/>
              <w:ind w:left="85"/>
            </w:pPr>
            <w:r>
              <w:rPr>
                <w:rFonts w:ascii="Liberation Sans" w:hAnsi="Liberation Sans"/>
                <w:b/>
                <w:color w:val="C84B4B"/>
                <w:sz w:val="18"/>
              </w:rPr>
              <w:t xml:space="preserve">• </w:t>
            </w:r>
            <w:r>
              <w:rPr>
                <w:rFonts w:ascii="Liberation Sans" w:hAnsi="Liberation Sans"/>
                <w:b w:val="0"/>
                <w:color w:val="111317"/>
                <w:sz w:val="17"/>
              </w:rPr>
              <w:t>Duplicate records across related queries</w:t>
            </w:r>
          </w:p>
          <w:p>
            <w:pPr>
              <w:spacing w:after="80"/>
              <w:ind w:left="85"/>
            </w:pPr>
            <w:r>
              <w:rPr>
                <w:rFonts w:ascii="Liberation Sans" w:hAnsi="Liberation Sans"/>
                <w:b/>
                <w:color w:val="C84B4B"/>
                <w:sz w:val="18"/>
              </w:rPr>
              <w:t xml:space="preserve">• </w:t>
            </w:r>
            <w:r>
              <w:rPr>
                <w:rFonts w:ascii="Liberation Sans" w:hAnsi="Liberation Sans"/>
                <w:b w:val="0"/>
                <w:color w:val="111317"/>
                <w:sz w:val="17"/>
              </w:rPr>
              <w:t>No transparent way to prioritize prospects</w:t>
            </w:r>
          </w:p>
        </w:tc>
        <w:tc>
          <w:tcPr>
            <w:tcW w:type="dxa" w:w="5185"/>
            <w:shd w:fill="ECF9EE"/>
            <w:tcBorders>
              <w:top w:val="single" w:sz="6" w:color="DDE3E6"/>
              <w:left w:val="single" w:sz="6" w:color="DDE3E6"/>
              <w:bottom w:val="single" w:sz="6" w:color="DDE3E6"/>
              <w:right w:val="single" w:sz="6" w:color="DDE3E6"/>
            </w:tcBorders>
            <w:tcMar>
              <w:top w:w="160" w:type="dxa"/>
              <w:start w:w="180" w:type="dxa"/>
              <w:bottom w:w="160" w:type="dxa"/>
              <w:end w:w="180" w:type="dxa"/>
            </w:tcMar>
          </w:tcPr>
          <w:p>
            <w:r>
              <w:rPr>
                <w:rFonts w:ascii="Liberation Sans" w:hAnsi="Liberation Sans"/>
                <w:b/>
                <w:color w:val="2B8A57"/>
                <w:sz w:val="20"/>
              </w:rPr>
              <w:t>AFTER</w:t>
            </w:r>
          </w:p>
          <w:p>
            <w:pPr>
              <w:spacing w:after="80"/>
              <w:ind w:left="85"/>
            </w:pPr>
            <w:r>
              <w:rPr>
                <w:rFonts w:ascii="Liberation Sans" w:hAnsi="Liberation Sans"/>
                <w:b/>
                <w:color w:val="2B8A57"/>
                <w:sz w:val="18"/>
              </w:rPr>
              <w:t xml:space="preserve">• </w:t>
            </w:r>
            <w:r>
              <w:rPr>
                <w:rFonts w:ascii="Liberation Sans" w:hAnsi="Liberation Sans"/>
                <w:b w:val="0"/>
                <w:color w:val="111317"/>
                <w:sz w:val="17"/>
              </w:rPr>
              <w:t>Concurrent acquisition with isolated worker contexts</w:t>
            </w:r>
          </w:p>
          <w:p>
            <w:pPr>
              <w:spacing w:after="80"/>
              <w:ind w:left="85"/>
            </w:pPr>
            <w:r>
              <w:rPr>
                <w:rFonts w:ascii="Liberation Sans" w:hAnsi="Liberation Sans"/>
                <w:b/>
                <w:color w:val="2B8A57"/>
                <w:sz w:val="18"/>
              </w:rPr>
              <w:t xml:space="preserve">• </w:t>
            </w:r>
            <w:r>
              <w:rPr>
                <w:rFonts w:ascii="Liberation Sans" w:hAnsi="Liberation Sans"/>
                <w:b w:val="0"/>
                <w:color w:val="111317"/>
                <w:sz w:val="17"/>
              </w:rPr>
              <w:t>Normalized 38-field business records</w:t>
            </w:r>
          </w:p>
          <w:p>
            <w:pPr>
              <w:spacing w:after="80"/>
              <w:ind w:left="85"/>
            </w:pPr>
            <w:r>
              <w:rPr>
                <w:rFonts w:ascii="Liberation Sans" w:hAnsi="Liberation Sans"/>
                <w:b/>
                <w:color w:val="2B8A57"/>
                <w:sz w:val="18"/>
              </w:rPr>
              <w:t xml:space="preserve">• </w:t>
            </w:r>
            <w:r>
              <w:rPr>
                <w:rFonts w:ascii="Liberation Sans" w:hAnsi="Liberation Sans"/>
                <w:b w:val="0"/>
                <w:color w:val="111317"/>
                <w:sz w:val="17"/>
              </w:rPr>
              <w:t>Bounded website crawl using sitemaps, JSON-LD and contact-page prioritization</w:t>
            </w:r>
          </w:p>
          <w:p>
            <w:pPr>
              <w:spacing w:after="80"/>
              <w:ind w:left="85"/>
            </w:pPr>
            <w:r>
              <w:rPr>
                <w:rFonts w:ascii="Liberation Sans" w:hAnsi="Liberation Sans"/>
                <w:b/>
                <w:color w:val="2B8A57"/>
                <w:sz w:val="18"/>
              </w:rPr>
              <w:t xml:space="preserve">• </w:t>
            </w:r>
            <w:r>
              <w:rPr>
                <w:rFonts w:ascii="Liberation Sans" w:hAnsi="Liberation Sans"/>
                <w:b w:val="0"/>
                <w:color w:val="111317"/>
                <w:sz w:val="17"/>
              </w:rPr>
              <w:t>Deterministic deduplication and streaming export</w:t>
            </w:r>
          </w:p>
          <w:p>
            <w:pPr>
              <w:spacing w:after="80"/>
              <w:ind w:left="85"/>
            </w:pPr>
            <w:r>
              <w:rPr>
                <w:rFonts w:ascii="Liberation Sans" w:hAnsi="Liberation Sans"/>
                <w:b/>
                <w:color w:val="2B8A57"/>
                <w:sz w:val="18"/>
              </w:rPr>
              <w:t xml:space="preserve">• </w:t>
            </w:r>
            <w:r>
              <w:rPr>
                <w:rFonts w:ascii="Liberation Sans" w:hAnsi="Liberation Sans"/>
                <w:b w:val="0"/>
                <w:color w:val="111317"/>
                <w:sz w:val="17"/>
              </w:rPr>
              <w:t>Separate data, contact and outreach-priority scores</w:t>
            </w:r>
          </w:p>
        </w:tc>
      </w:tr>
    </w:tbl>
    <w:p/>
    <w:p>
      <w:pPr>
        <w:pStyle w:val="Heading2"/>
      </w:pPr>
      <w:r>
        <w:t>Meaningful result</w:t>
      </w:r>
    </w:p>
    <w:p>
      <w:pPr>
        <w:jc w:val="both"/>
      </w:pPr>
      <w:r>
        <w:rPr>
          <w:rFonts w:ascii="Liberation Sans" w:hAnsi="Liberation Sans"/>
          <w:b w:val="0"/>
          <w:color w:val="111317"/>
          <w:sz w:val="19"/>
        </w:rPr>
        <w:t>297 unique records transformed into a structured research dataset in the supplied run.</w:t>
      </w:r>
    </w:p>
    <w:p>
      <w:r>
        <w:br w:type="page"/>
      </w:r>
    </w:p>
    <w:p>
      <w:pPr>
        <w:spacing w:after="60"/>
      </w:pPr>
      <w:r>
        <w:rPr>
          <w:rFonts w:ascii="Liberation Sans" w:hAnsi="Liberation Sans"/>
          <w:b/>
          <w:color w:val="00B8C9"/>
          <w:sz w:val="16"/>
        </w:rPr>
        <w:t>SOLUTION</w:t>
      </w:r>
    </w:p>
    <w:p>
      <w:pPr>
        <w:pStyle w:val="Heading1"/>
      </w:pPr>
      <w:r>
        <w:t>How the system works</w:t>
      </w:r>
    </w:p>
    <w:p>
      <w:pPr>
        <w:jc w:val="both"/>
      </w:pPr>
      <w:r>
        <w:rPr>
          <w:rFonts w:ascii="Liberation Sans" w:hAnsi="Liberation Sans"/>
          <w:b w:val="0"/>
          <w:color w:val="111317"/>
          <w:sz w:val="19"/>
        </w:rPr>
        <w:t>Acquisition runs on Playwright/Patchright for dynamic listing pages, orchestrated asynchronously with isolated browser contexts so multiple queries run concurrently without interfering with each other. A separate aiohttp crawler handles each business's own website, faster than a full browser when static HTML is enough, falling back to fuller rendering when it isn't.</w:t>
      </w:r>
    </w:p>
    <w:p>
      <w:pPr>
        <w:pStyle w:val="Heading2"/>
      </w:pPr>
      <w:r>
        <w:t>Operational workflow</w:t>
      </w:r>
    </w:p>
    <w:tbl>
      <w:tblPr>
        <w:tblW w:type="auto" w:w="0"/>
        <w:jc w:val="center"/>
        <w:tblLook w:firstColumn="1" w:firstRow="1" w:lastColumn="0" w:lastRow="0" w:noHBand="0" w:noVBand="1" w:val="04A0"/>
      </w:tblPr>
      <w:tblGrid>
        <w:gridCol w:w="2074"/>
        <w:gridCol w:w="2074"/>
        <w:gridCol w:w="2074"/>
        <w:gridCol w:w="2074"/>
        <w:gridCol w:w="2074"/>
      </w:tblGrid>
      <w:tr>
        <w:tc>
          <w:tcPr>
            <w:tcW w:type="dxa" w:w="2074"/>
            <w:shd w:fill="F5F7F8"/>
            <w:tcBorders>
              <w:top w:val="single" w:sz="6" w:color="DDE3E6"/>
              <w:left w:val="single" w:sz="6" w:color="DDE3E6"/>
              <w:bottom w:val="single" w:sz="6" w:color="DDE3E6"/>
              <w:right w:val="single" w:sz="6" w:color="DDE3E6"/>
            </w:tcBorders>
            <w:tcMar>
              <w:top w:w="120" w:type="dxa"/>
              <w:start w:w="105" w:type="dxa"/>
              <w:bottom w:w="120" w:type="dxa"/>
              <w:end w:w="105" w:type="dxa"/>
            </w:tcMar>
          </w:tcPr>
          <w:p>
            <w:r>
              <w:rPr>
                <w:rFonts w:ascii="Liberation Sans" w:hAnsi="Liberation Sans"/>
                <w:b/>
                <w:color w:val="00B8C9"/>
                <w:sz w:val="16"/>
              </w:rPr>
              <w:t>01</w:t>
            </w:r>
          </w:p>
          <w:p>
            <w:r>
              <w:rPr>
                <w:rFonts w:ascii="Liberation Sans" w:hAnsi="Liberation Sans"/>
                <w:b/>
                <w:color w:val="111317"/>
                <w:sz w:val="18"/>
              </w:rPr>
              <w:t>Queries</w:t>
            </w:r>
          </w:p>
          <w:p>
            <w:r>
              <w:rPr>
                <w:rFonts w:ascii="Liberation Sans" w:hAnsi="Liberation Sans"/>
                <w:b w:val="0"/>
                <w:color w:val="5F6872"/>
                <w:sz w:val="15"/>
              </w:rPr>
              <w:t>Business + city intent</w:t>
            </w:r>
          </w:p>
        </w:tc>
        <w:tc>
          <w:tcPr>
            <w:tcW w:type="dxa" w:w="2074"/>
            <w:shd w:fill="DFF8FA"/>
            <w:tcBorders>
              <w:top w:val="single" w:sz="6" w:color="DDE3E6"/>
              <w:left w:val="single" w:sz="6" w:color="DDE3E6"/>
              <w:bottom w:val="single" w:sz="6" w:color="DDE3E6"/>
              <w:right w:val="single" w:sz="6" w:color="DDE3E6"/>
            </w:tcBorders>
            <w:tcMar>
              <w:top w:w="120" w:type="dxa"/>
              <w:start w:w="105" w:type="dxa"/>
              <w:bottom w:w="120" w:type="dxa"/>
              <w:end w:w="105" w:type="dxa"/>
            </w:tcMar>
          </w:tcPr>
          <w:p>
            <w:r>
              <w:rPr>
                <w:rFonts w:ascii="Liberation Sans" w:hAnsi="Liberation Sans"/>
                <w:b/>
                <w:color w:val="00B8C9"/>
                <w:sz w:val="16"/>
              </w:rPr>
              <w:t>02</w:t>
            </w:r>
          </w:p>
          <w:p>
            <w:r>
              <w:rPr>
                <w:rFonts w:ascii="Liberation Sans" w:hAnsi="Liberation Sans"/>
                <w:b/>
                <w:color w:val="111317"/>
                <w:sz w:val="18"/>
              </w:rPr>
              <w:t>Acquisition</w:t>
            </w:r>
          </w:p>
          <w:p>
            <w:r>
              <w:rPr>
                <w:rFonts w:ascii="Liberation Sans" w:hAnsi="Liberation Sans"/>
                <w:b w:val="0"/>
                <w:color w:val="5F6872"/>
                <w:sz w:val="15"/>
              </w:rPr>
              <w:t>Rendered public listings</w:t>
            </w:r>
          </w:p>
        </w:tc>
        <w:tc>
          <w:tcPr>
            <w:tcW w:type="dxa" w:w="2074"/>
            <w:shd w:fill="F5F7F8"/>
            <w:tcBorders>
              <w:top w:val="single" w:sz="6" w:color="DDE3E6"/>
              <w:left w:val="single" w:sz="6" w:color="DDE3E6"/>
              <w:bottom w:val="single" w:sz="6" w:color="DDE3E6"/>
              <w:right w:val="single" w:sz="6" w:color="DDE3E6"/>
            </w:tcBorders>
            <w:tcMar>
              <w:top w:w="120" w:type="dxa"/>
              <w:start w:w="105" w:type="dxa"/>
              <w:bottom w:w="120" w:type="dxa"/>
              <w:end w:w="105" w:type="dxa"/>
            </w:tcMar>
          </w:tcPr>
          <w:p>
            <w:r>
              <w:rPr>
                <w:rFonts w:ascii="Liberation Sans" w:hAnsi="Liberation Sans"/>
                <w:b/>
                <w:color w:val="00B8C9"/>
                <w:sz w:val="16"/>
              </w:rPr>
              <w:t>03</w:t>
            </w:r>
          </w:p>
          <w:p>
            <w:r>
              <w:rPr>
                <w:rFonts w:ascii="Liberation Sans" w:hAnsi="Liberation Sans"/>
                <w:b/>
                <w:color w:val="111317"/>
                <w:sz w:val="18"/>
              </w:rPr>
              <w:t>Enrichment</w:t>
            </w:r>
          </w:p>
          <w:p>
            <w:r>
              <w:rPr>
                <w:rFonts w:ascii="Liberation Sans" w:hAnsi="Liberation Sans"/>
                <w:b w:val="0"/>
                <w:color w:val="5F6872"/>
                <w:sz w:val="15"/>
              </w:rPr>
              <w:t>Websites and JSON-LD</w:t>
            </w:r>
          </w:p>
        </w:tc>
        <w:tc>
          <w:tcPr>
            <w:tcW w:type="dxa" w:w="2074"/>
            <w:shd w:fill="DFF8FA"/>
            <w:tcBorders>
              <w:top w:val="single" w:sz="6" w:color="DDE3E6"/>
              <w:left w:val="single" w:sz="6" w:color="DDE3E6"/>
              <w:bottom w:val="single" w:sz="6" w:color="DDE3E6"/>
              <w:right w:val="single" w:sz="6" w:color="DDE3E6"/>
            </w:tcBorders>
            <w:tcMar>
              <w:top w:w="120" w:type="dxa"/>
              <w:start w:w="105" w:type="dxa"/>
              <w:bottom w:w="120" w:type="dxa"/>
              <w:end w:w="105" w:type="dxa"/>
            </w:tcMar>
          </w:tcPr>
          <w:p>
            <w:r>
              <w:rPr>
                <w:rFonts w:ascii="Liberation Sans" w:hAnsi="Liberation Sans"/>
                <w:b/>
                <w:color w:val="00B8C9"/>
                <w:sz w:val="16"/>
              </w:rPr>
              <w:t>04</w:t>
            </w:r>
          </w:p>
          <w:p>
            <w:r>
              <w:rPr>
                <w:rFonts w:ascii="Liberation Sans" w:hAnsi="Liberation Sans"/>
                <w:b/>
                <w:color w:val="111317"/>
                <w:sz w:val="18"/>
              </w:rPr>
              <w:t>Normalize</w:t>
            </w:r>
          </w:p>
          <w:p>
            <w:r>
              <w:rPr>
                <w:rFonts w:ascii="Liberation Sans" w:hAnsi="Liberation Sans"/>
                <w:b w:val="0"/>
                <w:color w:val="5F6872"/>
                <w:sz w:val="15"/>
              </w:rPr>
              <w:t>Phones and deduplication</w:t>
            </w:r>
          </w:p>
        </w:tc>
        <w:tc>
          <w:tcPr>
            <w:tcW w:type="dxa" w:w="2074"/>
            <w:shd w:fill="F5F7F8"/>
            <w:tcBorders>
              <w:top w:val="single" w:sz="6" w:color="DDE3E6"/>
              <w:left w:val="single" w:sz="6" w:color="DDE3E6"/>
              <w:bottom w:val="single" w:sz="6" w:color="DDE3E6"/>
              <w:right w:val="single" w:sz="6" w:color="DDE3E6"/>
            </w:tcBorders>
            <w:tcMar>
              <w:top w:w="120" w:type="dxa"/>
              <w:start w:w="105" w:type="dxa"/>
              <w:bottom w:w="120" w:type="dxa"/>
              <w:end w:w="105" w:type="dxa"/>
            </w:tcMar>
          </w:tcPr>
          <w:p>
            <w:r>
              <w:rPr>
                <w:rFonts w:ascii="Liberation Sans" w:hAnsi="Liberation Sans"/>
                <w:b/>
                <w:color w:val="00B8C9"/>
                <w:sz w:val="16"/>
              </w:rPr>
              <w:t>05</w:t>
            </w:r>
          </w:p>
          <w:p>
            <w:r>
              <w:rPr>
                <w:rFonts w:ascii="Liberation Sans" w:hAnsi="Liberation Sans"/>
                <w:b/>
                <w:color w:val="111317"/>
                <w:sz w:val="18"/>
              </w:rPr>
              <w:t>Prioritize</w:t>
            </w:r>
          </w:p>
          <w:p>
            <w:r>
              <w:rPr>
                <w:rFonts w:ascii="Liberation Sans" w:hAnsi="Liberation Sans"/>
                <w:b w:val="0"/>
                <w:color w:val="5F6872"/>
                <w:sz w:val="15"/>
              </w:rPr>
              <w:t>Scores and exports</w:t>
            </w:r>
          </w:p>
        </w:tc>
      </w:tr>
    </w:tbl>
    <w:p/>
    <w:p>
      <w:pPr>
        <w:jc w:val="center"/>
      </w:pPr>
      <w:r>
        <w:drawing>
          <wp:inline xmlns:a="http://schemas.openxmlformats.org/drawingml/2006/main" xmlns:pic="http://schemas.openxmlformats.org/drawingml/2006/picture">
            <wp:extent cx="5976000" cy="2689200"/>
            <wp:docPr id="2" name="Picture 2"/>
            <wp:cNvGraphicFramePr>
              <a:graphicFrameLocks noChangeAspect="1"/>
            </wp:cNvGraphicFramePr>
            <a:graphic>
              <a:graphicData uri="http://schemas.openxmlformats.org/drawingml/2006/picture">
                <pic:pic>
                  <pic:nvPicPr>
                    <pic:cNvPr id="0" name="local-market-intelligence-architecture.png"/>
                    <pic:cNvPicPr/>
                  </pic:nvPicPr>
                  <pic:blipFill>
                    <a:blip r:embed="rId12"/>
                    <a:stretch>
                      <a:fillRect/>
                    </a:stretch>
                  </pic:blipFill>
                  <pic:spPr>
                    <a:xfrm>
                      <a:off x="0" y="0"/>
                      <a:ext cx="5976000" cy="2689200"/>
                    </a:xfrm>
                    <a:prstGeom prst="rect"/>
                  </pic:spPr>
                </pic:pic>
              </a:graphicData>
            </a:graphic>
          </wp:inline>
        </w:drawing>
      </w:r>
    </w:p>
    <w:p>
      <w:pPr>
        <w:spacing w:after="160"/>
        <w:jc w:val="center"/>
      </w:pPr>
      <w:r>
        <w:rPr>
          <w:rFonts w:ascii="Liberation Sans" w:hAnsi="Liberation Sans"/>
          <w:b w:val="0"/>
          <w:color w:val="5F6872"/>
          <w:sz w:val="15"/>
        </w:rPr>
        <w:t>Every record normalizes into a 38-field schema, gets deduplicated against everything already collected in the run, and is scored into a tier based on review count, rating and phone/website presence, so the output a reviewer opens is a prioritized shortlist, not a flat alphabetical table. Records stream to CSV as they're collected, with JSON and styled XLSX export layered on top, and a selector-health monitor compares field-fill rates run over run so a listing site changing its markup shows up as a measurable drop instead of silently corrupting the dataset. The operational sequence:</w:t>
      </w:r>
    </w:p>
    <w:p>
      <w:r>
        <w:br w:type="page"/>
      </w:r>
    </w:p>
    <w:p>
      <w:pPr>
        <w:spacing w:after="60"/>
      </w:pPr>
      <w:r>
        <w:rPr>
          <w:rFonts w:ascii="Liberation Sans" w:hAnsi="Liberation Sans"/>
          <w:b/>
          <w:color w:val="00B8C9"/>
          <w:sz w:val="16"/>
        </w:rPr>
        <w:t>ENGINEERING</w:t>
      </w:r>
    </w:p>
    <w:p>
      <w:pPr>
        <w:pStyle w:val="Heading1"/>
      </w:pPr>
      <w:r>
        <w:t>Architecture and decisions</w:t>
      </w:r>
    </w:p>
    <w:p>
      <w:pPr>
        <w:jc w:val="both"/>
      </w:pPr>
      <w:r>
        <w:rPr>
          <w:rFonts w:ascii="Liberation Sans" w:hAnsi="Liberation Sans"/>
          <w:b w:val="0"/>
          <w:color w:val="111317"/>
          <w:sz w:val="19"/>
        </w:rPr>
        <w:t>The runtime combines Playwright or Patchright for dynamic listing pages with asynchronous Python orchestration across isolated browser contexts, and a separate lightweight aiohttp crawler for company websites — because most business websites don't need a full browser just to read a footer for an email address, and skipping that overhead matters at volume.</w:t>
      </w:r>
    </w:p>
    <w:p>
      <w:pPr>
        <w:pStyle w:val="Heading2"/>
      </w:pPr>
      <w:r>
        <w:t>Critical engineering decisions</w:t>
      </w:r>
    </w:p>
    <w:tbl>
      <w:tblPr>
        <w:tblW w:type="auto" w:w="0"/>
        <w:jc w:val="center"/>
        <w:tblLook w:firstColumn="1" w:firstRow="1" w:lastColumn="0" w:lastRow="0" w:noHBand="0" w:noVBand="1" w:val="04A0"/>
      </w:tblPr>
      <w:tblGrid>
        <w:gridCol w:w="5185"/>
        <w:gridCol w:w="5185"/>
      </w:tblGrid>
      <w:tr>
        <w:tc>
          <w:tcPr>
            <w:tcW w:type="dxa" w:w="5185"/>
            <w:shd w:fill="F5F7F8"/>
            <w:tcBorders>
              <w:top w:val="single" w:sz="6" w:color="DDE3E6"/>
              <w:left w:val="single" w:sz="6" w:color="DDE3E6"/>
              <w:bottom w:val="single" w:sz="6" w:color="DDE3E6"/>
              <w:right w:val="single" w:sz="6" w:color="DDE3E6"/>
            </w:tcBorders>
            <w:tcMar>
              <w:top w:w="150" w:type="dxa"/>
              <w:start w:w="160" w:type="dxa"/>
              <w:bottom w:w="150" w:type="dxa"/>
              <w:end w:w="160" w:type="dxa"/>
            </w:tcMar>
          </w:tcPr>
          <w:p>
            <w:r>
              <w:rPr>
                <w:rFonts w:ascii="Liberation Sans" w:hAnsi="Liberation Sans"/>
                <w:b/>
                <w:color w:val="00B8C9"/>
                <w:sz w:val="14"/>
              </w:rPr>
              <w:t>DECISION 01</w:t>
            </w:r>
          </w:p>
          <w:p>
            <w:r>
              <w:rPr>
                <w:rFonts w:ascii="Liberation Sans" w:hAnsi="Liberation Sans"/>
                <w:b/>
                <w:color w:val="111317"/>
                <w:sz w:val="20"/>
              </w:rPr>
              <w:t>Separate acquisition from intelligence</w:t>
            </w:r>
          </w:p>
          <w:p>
            <w:r>
              <w:rPr>
                <w:rFonts w:ascii="Liberation Sans" w:hAnsi="Liberation Sans"/>
                <w:b w:val="0"/>
                <w:color w:val="5F6872"/>
                <w:sz w:val="16"/>
              </w:rPr>
              <w:t>Extraction gathers evidence while scoring and classification live in a dedicated layer, making business logic inspectable.</w:t>
            </w:r>
          </w:p>
        </w:tc>
        <w:tc>
          <w:tcPr>
            <w:tcW w:type="dxa" w:w="5185"/>
            <w:shd w:fill="F5F7F8"/>
            <w:tcBorders>
              <w:top w:val="single" w:sz="6" w:color="DDE3E6"/>
              <w:left w:val="single" w:sz="6" w:color="DDE3E6"/>
              <w:bottom w:val="single" w:sz="6" w:color="DDE3E6"/>
              <w:right w:val="single" w:sz="6" w:color="DDE3E6"/>
            </w:tcBorders>
            <w:tcMar>
              <w:top w:w="150" w:type="dxa"/>
              <w:start w:w="160" w:type="dxa"/>
              <w:bottom w:w="150" w:type="dxa"/>
              <w:end w:w="160" w:type="dxa"/>
            </w:tcMar>
          </w:tcPr>
          <w:p>
            <w:r>
              <w:rPr>
                <w:rFonts w:ascii="Liberation Sans" w:hAnsi="Liberation Sans"/>
                <w:b/>
                <w:color w:val="00B8C9"/>
                <w:sz w:val="14"/>
              </w:rPr>
              <w:t>DECISION 02</w:t>
            </w:r>
          </w:p>
          <w:p>
            <w:r>
              <w:rPr>
                <w:rFonts w:ascii="Liberation Sans" w:hAnsi="Liberation Sans"/>
                <w:b/>
                <w:color w:val="111317"/>
                <w:sz w:val="20"/>
              </w:rPr>
              <w:t>Bound website enrichment</w:t>
            </w:r>
          </w:p>
          <w:p>
            <w:r>
              <w:rPr>
                <w:rFonts w:ascii="Liberation Sans" w:hAnsi="Liberation Sans"/>
                <w:b w:val="0"/>
                <w:color w:val="5F6872"/>
                <w:sz w:val="16"/>
              </w:rPr>
              <w:t>Sitemap discovery and contact relevance improve coverage, while page caps and early stopping prevent wasteful full-site crawling.</w:t>
            </w:r>
          </w:p>
        </w:tc>
      </w:tr>
      <w:tr>
        <w:tc>
          <w:tcPr>
            <w:tcW w:type="dxa" w:w="5185"/>
            <w:shd w:fill="F5F7F8"/>
            <w:tcBorders>
              <w:top w:val="single" w:sz="6" w:color="DDE3E6"/>
              <w:left w:val="single" w:sz="6" w:color="DDE3E6"/>
              <w:bottom w:val="single" w:sz="6" w:color="DDE3E6"/>
              <w:right w:val="single" w:sz="6" w:color="DDE3E6"/>
            </w:tcBorders>
            <w:tcMar>
              <w:top w:w="150" w:type="dxa"/>
              <w:start w:w="160" w:type="dxa"/>
              <w:bottom w:w="150" w:type="dxa"/>
              <w:end w:w="160" w:type="dxa"/>
            </w:tcMar>
          </w:tcPr>
          <w:p>
            <w:r>
              <w:rPr>
                <w:rFonts w:ascii="Liberation Sans" w:hAnsi="Liberation Sans"/>
                <w:b/>
                <w:color w:val="00B8C9"/>
                <w:sz w:val="14"/>
              </w:rPr>
              <w:t>DECISION 03</w:t>
            </w:r>
          </w:p>
          <w:p>
            <w:r>
              <w:rPr>
                <w:rFonts w:ascii="Liberation Sans" w:hAnsi="Liberation Sans"/>
                <w:b/>
                <w:color w:val="111317"/>
                <w:sz w:val="20"/>
              </w:rPr>
              <w:t>Stream results and preserve progress</w:t>
            </w:r>
          </w:p>
          <w:p>
            <w:r>
              <w:rPr>
                <w:rFonts w:ascii="Liberation Sans" w:hAnsi="Liberation Sans"/>
                <w:b w:val="0"/>
                <w:color w:val="5F6872"/>
                <w:sz w:val="16"/>
              </w:rPr>
              <w:t>Incremental writes and checkpoints reduce the cost of interruptions and make long research runs safer.</w:t>
            </w:r>
          </w:p>
        </w:tc>
        <w:tc>
          <w:tcPr>
            <w:tcW w:type="dxa" w:w="5185"/>
            <w:shd w:fill="F5F7F8"/>
            <w:tcBorders>
              <w:top w:val="single" w:sz="6" w:color="DDE3E6"/>
              <w:left w:val="single" w:sz="6" w:color="DDE3E6"/>
              <w:bottom w:val="single" w:sz="6" w:color="DDE3E6"/>
              <w:right w:val="single" w:sz="6" w:color="DDE3E6"/>
            </w:tcBorders>
            <w:tcMar>
              <w:top w:w="150" w:type="dxa"/>
              <w:start w:w="160" w:type="dxa"/>
              <w:bottom w:w="150" w:type="dxa"/>
              <w:end w:w="160" w:type="dxa"/>
            </w:tcMar>
          </w:tcPr>
          <w:p>
            <w:r>
              <w:rPr>
                <w:rFonts w:ascii="Liberation Sans" w:hAnsi="Liberation Sans"/>
                <w:b/>
                <w:color w:val="00B8C9"/>
                <w:sz w:val="14"/>
              </w:rPr>
              <w:t>DECISION 04</w:t>
            </w:r>
          </w:p>
          <w:p>
            <w:r>
              <w:rPr>
                <w:rFonts w:ascii="Liberation Sans" w:hAnsi="Liberation Sans"/>
                <w:b/>
                <w:color w:val="111317"/>
                <w:sz w:val="20"/>
              </w:rPr>
              <w:t>Expose GUI and CLI interfaces</w:t>
            </w:r>
          </w:p>
          <w:p>
            <w:r>
              <w:rPr>
                <w:rFonts w:ascii="Liberation Sans" w:hAnsi="Liberation Sans"/>
                <w:b w:val="0"/>
                <w:color w:val="5F6872"/>
                <w:sz w:val="16"/>
              </w:rPr>
              <w:t>The GUI supports operators; the CLI supports repeatable jobs, automation and technical inspection.</w:t>
            </w:r>
          </w:p>
        </w:tc>
      </w:tr>
    </w:tbl>
    <w:p/>
    <w:p>
      <w:pPr>
        <w:pStyle w:val="Heading2"/>
      </w:pPr>
      <w:r>
        <w:t>Technology stack</w:t>
      </w:r>
    </w:p>
    <w:tbl>
      <w:tblPr>
        <w:tblW w:type="auto" w:w="0"/>
        <w:jc w:val="center"/>
        <w:tblLook w:firstColumn="1" w:firstRow="1" w:lastColumn="0" w:lastRow="0" w:noHBand="0" w:noVBand="1" w:val="04A0"/>
      </w:tblPr>
      <w:tblGrid>
        <w:gridCol w:w="1728"/>
        <w:gridCol w:w="1728"/>
        <w:gridCol w:w="1728"/>
        <w:gridCol w:w="1728"/>
        <w:gridCol w:w="1728"/>
        <w:gridCol w:w="1728"/>
      </w:tblGrid>
      <w:tr>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Python</w:t>
            </w:r>
          </w:p>
        </w:tc>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asyncio</w:t>
            </w:r>
          </w:p>
        </w:tc>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Playwright / Patchright</w:t>
            </w:r>
          </w:p>
        </w:tc>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aiohttp</w:t>
            </w:r>
          </w:p>
        </w:tc>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Data scoring</w:t>
            </w:r>
          </w:p>
        </w:tc>
        <w:tc>
          <w:tcPr>
            <w:tcW w:type="dxa" w:w="1728"/>
            <w:shd w:fill="DFF8FA"/>
            <w:tcBorders>
              <w:top w:val="single" w:sz="6" w:color="DDE3E6"/>
              <w:left w:val="single" w:sz="6" w:color="DDE3E6"/>
              <w:bottom w:val="single" w:sz="6" w:color="DDE3E6"/>
              <w:right w:val="single" w:sz="6" w:color="DDE3E6"/>
            </w:tcBorders>
            <w:tcMar>
              <w:top w:w="90" w:type="dxa"/>
              <w:start w:w="80" w:type="dxa"/>
              <w:bottom w:w="90" w:type="dxa"/>
              <w:end w:w="80" w:type="dxa"/>
            </w:tcMar>
          </w:tcPr>
          <w:p>
            <w:pPr>
              <w:jc w:val="center"/>
            </w:pPr>
            <w:r>
              <w:rPr>
                <w:rFonts w:ascii="Liberation Sans" w:hAnsi="Liberation Sans"/>
                <w:b/>
                <w:color w:val="111317"/>
                <w:sz w:val="15"/>
              </w:rPr>
              <w:t>CSV / JSON / XLSX</w:t>
            </w:r>
          </w:p>
        </w:tc>
      </w:tr>
    </w:tbl>
    <w:p>
      <w:r>
        <w:br w:type="page"/>
      </w:r>
    </w:p>
    <w:p>
      <w:pPr>
        <w:spacing w:after="60"/>
      </w:pPr>
      <w:r>
        <w:rPr>
          <w:rFonts w:ascii="Liberation Sans" w:hAnsi="Liberation Sans"/>
          <w:b/>
          <w:color w:val="00B8C9"/>
          <w:sz w:val="16"/>
        </w:rPr>
        <w:t>VISUAL PROOF</w:t>
      </w:r>
    </w:p>
    <w:p>
      <w:pPr>
        <w:pStyle w:val="Heading1"/>
      </w:pPr>
      <w:r>
        <w:t>Evidence 1 of 2</w:t>
      </w:r>
    </w:p>
    <w:p>
      <w:pPr>
        <w:jc w:val="center"/>
      </w:pPr>
      <w:r>
        <w:drawing>
          <wp:inline xmlns:a="http://schemas.openxmlformats.org/drawingml/2006/main" xmlns:pic="http://schemas.openxmlformats.org/drawingml/2006/picture">
            <wp:extent cx="3888000" cy="3240000"/>
            <wp:docPr id="3" name="Picture 3"/>
            <wp:cNvGraphicFramePr>
              <a:graphicFrameLocks noChangeAspect="1"/>
            </wp:cNvGraphicFramePr>
            <a:graphic>
              <a:graphicData uri="http://schemas.openxmlformats.org/drawingml/2006/picture">
                <pic:pic>
                  <pic:nvPicPr>
                    <pic:cNvPr id="0" name="desktop-project2-cli.png"/>
                    <pic:cNvPicPr/>
                  </pic:nvPicPr>
                  <pic:blipFill>
                    <a:blip r:embed="rId11"/>
                    <a:stretch>
                      <a:fillRect/>
                    </a:stretch>
                  </pic:blipFill>
                  <pic:spPr>
                    <a:xfrm>
                      <a:off x="0" y="0"/>
                      <a:ext cx="3888000" cy="3240000"/>
                    </a:xfrm>
                    <a:prstGeom prst="rect"/>
                  </pic:spPr>
                </pic:pic>
              </a:graphicData>
            </a:graphic>
          </wp:inline>
        </w:drawing>
      </w:r>
    </w:p>
    <w:p>
      <w:pPr>
        <w:spacing w:after="160"/>
        <w:jc w:val="center"/>
      </w:pPr>
      <w:r>
        <w:rPr>
          <w:rFonts w:ascii="Liberation Sans" w:hAnsi="Liberation Sans"/>
          <w:b w:val="0"/>
          <w:color w:val="5F6872"/>
          <w:sz w:val="15"/>
        </w:rPr>
        <w:t>CLI run showing concurrent workers, successful extraction and export.</w:t>
      </w:r>
    </w:p>
    <w:p>
      <w:r>
        <w:br w:type="page"/>
      </w:r>
    </w:p>
    <w:p>
      <w:pPr>
        <w:spacing w:after="60"/>
      </w:pPr>
      <w:r>
        <w:rPr>
          <w:rFonts w:ascii="Liberation Sans" w:hAnsi="Liberation Sans"/>
          <w:b/>
          <w:color w:val="00B8C9"/>
          <w:sz w:val="16"/>
        </w:rPr>
        <w:t>VISUAL PROOF</w:t>
      </w:r>
    </w:p>
    <w:p>
      <w:pPr>
        <w:pStyle w:val="Heading1"/>
      </w:pPr>
      <w:r>
        <w:t>Evidence 2 of 2</w:t>
      </w:r>
    </w:p>
    <w:p>
      <w:pPr>
        <w:jc w:val="center"/>
      </w:pPr>
      <w:r>
        <w:drawing>
          <wp:inline xmlns:a="http://schemas.openxmlformats.org/drawingml/2006/main" xmlns:pic="http://schemas.openxmlformats.org/drawingml/2006/picture">
            <wp:extent cx="5760000" cy="2080000"/>
            <wp:docPr id="4" name="Picture 4"/>
            <wp:cNvGraphicFramePr>
              <a:graphicFrameLocks noChangeAspect="1"/>
            </wp:cNvGraphicFramePr>
            <a:graphic>
              <a:graphicData uri="http://schemas.openxmlformats.org/drawingml/2006/picture">
                <pic:pic>
                  <pic:nvPicPr>
                    <pic:cNvPr id="0" name="local-market-dataset-preview.png"/>
                    <pic:cNvPicPr/>
                  </pic:nvPicPr>
                  <pic:blipFill>
                    <a:blip r:embed="rId13"/>
                    <a:stretch>
                      <a:fillRect/>
                    </a:stretch>
                  </pic:blipFill>
                  <pic:spPr>
                    <a:xfrm>
                      <a:off x="0" y="0"/>
                      <a:ext cx="5760000" cy="2080000"/>
                    </a:xfrm>
                    <a:prstGeom prst="rect"/>
                  </pic:spPr>
                </pic:pic>
              </a:graphicData>
            </a:graphic>
          </wp:inline>
        </w:drawing>
      </w:r>
    </w:p>
    <w:p>
      <w:pPr>
        <w:spacing w:after="160"/>
        <w:jc w:val="center"/>
      </w:pPr>
      <w:r>
        <w:rPr>
          <w:rFonts w:ascii="Liberation Sans" w:hAnsi="Liberation Sans"/>
          <w:b w:val="0"/>
          <w:color w:val="5F6872"/>
          <w:sz w:val="15"/>
        </w:rPr>
        <w:t>Sanitized preview of the supplied 297-record dataset.</w:t>
      </w:r>
    </w:p>
    <w:p>
      <w:r>
        <w:br w:type="page"/>
      </w:r>
    </w:p>
    <w:p>
      <w:pPr>
        <w:spacing w:after="60"/>
      </w:pPr>
      <w:r>
        <w:rPr>
          <w:rFonts w:ascii="Liberation Sans" w:hAnsi="Liberation Sans"/>
          <w:b/>
          <w:color w:val="00B8C9"/>
          <w:sz w:val="16"/>
        </w:rPr>
        <w:t>OUTCOME</w:t>
      </w:r>
    </w:p>
    <w:p>
      <w:pPr>
        <w:pStyle w:val="Heading1"/>
      </w:pPr>
      <w:r>
        <w:t>Value, proof and honest limitations</w:t>
      </w:r>
    </w:p>
    <w:p>
      <w:pPr>
        <w:pStyle w:val="Heading2"/>
      </w:pPr>
      <w:r>
        <w:t>Operational impact</w:t>
      </w:r>
    </w:p>
    <w:p>
      <w:pPr>
        <w:jc w:val="both"/>
      </w:pPr>
      <w:r>
        <w:rPr>
          <w:rFonts w:ascii="Liberation Sans" w:hAnsi="Liberation Sans"/>
          <w:b w:val="0"/>
          <w:color w:val="111317"/>
          <w:sz w:val="19"/>
        </w:rPr>
        <w:t>The supplied Casablanca run turned five search queries into 297 unique, normalized business records automatically: 95.6% with a working phone number, 98.0% with coordinates, 49.2% with a website, 14.1% with an email — the kind of coverage that turns a research task measured in days into one measured in minutes.</w:t>
      </w:r>
    </w:p>
    <w:p>
      <w:pPr>
        <w:pStyle w:val="Heading2"/>
      </w:pPr>
      <w:r>
        <w:t>Verified evidence</w:t>
      </w:r>
    </w:p>
    <w:p>
      <w:pPr>
        <w:pStyle w:val="ListBullet"/>
        <w:spacing w:after="60"/>
      </w:pPr>
      <w:r>
        <w:rPr>
          <w:rFonts w:ascii="Liberation Sans" w:hAnsi="Liberation Sans"/>
          <w:b w:val="0"/>
          <w:color w:val="111317"/>
          <w:sz w:val="18"/>
        </w:rPr>
        <w:t>CLI capture shows five concurrent workers and structured export</w:t>
      </w:r>
    </w:p>
    <w:p>
      <w:pPr>
        <w:pStyle w:val="ListBullet"/>
        <w:spacing w:after="60"/>
      </w:pPr>
      <w:r>
        <w:rPr>
          <w:rFonts w:ascii="Liberation Sans" w:hAnsi="Liberation Sans"/>
          <w:b w:val="0"/>
          <w:color w:val="111317"/>
          <w:sz w:val="18"/>
        </w:rPr>
        <w:t>Supplied dataset contains 297 rows and 38 fields</w:t>
      </w:r>
    </w:p>
    <w:p>
      <w:pPr>
        <w:pStyle w:val="ListBullet"/>
        <w:spacing w:after="60"/>
      </w:pPr>
      <w:r>
        <w:rPr>
          <w:rFonts w:ascii="Liberation Sans" w:hAnsi="Liberation Sans"/>
          <w:b w:val="0"/>
          <w:color w:val="111317"/>
          <w:sz w:val="18"/>
        </w:rPr>
        <w:t>Source separates GUI, CLI, engine, crawler and intelligence modules</w:t>
      </w:r>
    </w:p>
    <w:p>
      <w:pPr>
        <w:pStyle w:val="ListBullet"/>
        <w:spacing w:after="60"/>
      </w:pPr>
      <w:r>
        <w:rPr>
          <w:rFonts w:ascii="Liberation Sans" w:hAnsi="Liberation Sans"/>
          <w:b w:val="0"/>
          <w:color w:val="111317"/>
          <w:sz w:val="18"/>
        </w:rPr>
        <w:t>CSV, JSON and styled XLSX exports</w:t>
      </w:r>
    </w:p>
    <w:p>
      <w:pPr>
        <w:pStyle w:val="ListBullet"/>
        <w:spacing w:after="60"/>
      </w:pPr>
      <w:r>
        <w:rPr>
          <w:rFonts w:ascii="Liberation Sans" w:hAnsi="Liberation Sans"/>
          <w:b w:val="0"/>
          <w:color w:val="111317"/>
          <w:sz w:val="18"/>
        </w:rPr>
        <w:t>Selector-health monitoring and resume/checkpoint support</w:t>
      </w:r>
    </w:p>
    <w:p>
      <w:pPr>
        <w:pStyle w:val="Heading2"/>
      </w:pPr>
      <w:r>
        <w:t>Current limitations</w:t>
      </w:r>
    </w:p>
    <w:p>
      <w:pPr>
        <w:pStyle w:val="ListBullet"/>
        <w:spacing w:after="60"/>
      </w:pPr>
      <w:r>
        <w:rPr>
          <w:rFonts w:ascii="Liberation Sans" w:hAnsi="Liberation Sans"/>
          <w:b w:val="0"/>
          <w:color w:val="111317"/>
          <w:sz w:val="18"/>
        </w:rPr>
        <w:t>137 supplied rows contain an incorrect category value caused by a selector fallback.</w:t>
      </w:r>
    </w:p>
    <w:p>
      <w:pPr>
        <w:pStyle w:val="ListBullet"/>
        <w:spacing w:after="60"/>
      </w:pPr>
      <w:r>
        <w:rPr>
          <w:rFonts w:ascii="Liberation Sans" w:hAnsi="Liberation Sans"/>
          <w:b w:val="0"/>
          <w:color w:val="111317"/>
          <w:sz w:val="18"/>
        </w:rPr>
        <w:t>289 descriptions match the address field, indicating an extraction-quality defect.</w:t>
      </w:r>
    </w:p>
    <w:p>
      <w:pPr>
        <w:pStyle w:val="ListBullet"/>
        <w:spacing w:after="60"/>
      </w:pPr>
      <w:r>
        <w:rPr>
          <w:rFonts w:ascii="Liberation Sans" w:hAnsi="Liberation Sans"/>
          <w:b w:val="0"/>
          <w:color w:val="111317"/>
          <w:sz w:val="18"/>
        </w:rPr>
        <w:t>188 secondary-phone values duplicate the primary phone; some social links are tracking URLs.</w:t>
      </w:r>
    </w:p>
    <w:p>
      <w:pPr>
        <w:pStyle w:val="ListBullet"/>
        <w:spacing w:after="60"/>
      </w:pPr>
      <w:r>
        <w:rPr>
          <w:rFonts w:ascii="Liberation Sans" w:hAnsi="Liberation Sans"/>
          <w:b w:val="0"/>
          <w:color w:val="111317"/>
          <w:sz w:val="18"/>
        </w:rPr>
        <w:t>WhatsApp availability is estimated, not individually verified.</w:t>
      </w:r>
    </w:p>
    <w:p>
      <w:pPr>
        <w:pStyle w:val="ListBullet"/>
        <w:spacing w:after="60"/>
      </w:pPr>
      <w:r>
        <w:rPr>
          <w:rFonts w:ascii="Liberation Sans" w:hAnsi="Liberation Sans"/>
          <w:b w:val="0"/>
          <w:color w:val="111317"/>
          <w:sz w:val="18"/>
        </w:rPr>
        <w:t>A stronger populated GUI capture is still needed.</w:t>
      </w:r>
    </w:p>
    <w:p>
      <w:pPr>
        <w:pStyle w:val="Heading2"/>
      </w:pPr>
      <w:r>
        <w:t>Current status</w:t>
      </w:r>
    </w:p>
    <w:tbl>
      <w:tblPr>
        <w:tblW w:type="auto" w:w="0"/>
        <w:jc w:val="center"/>
        <w:tblLook w:firstColumn="1" w:firstRow="1" w:lastColumn="0" w:lastRow="0" w:noHBand="0" w:noVBand="1" w:val="04A0"/>
      </w:tblPr>
      <w:tblGrid>
        <w:gridCol w:w="2592"/>
        <w:gridCol w:w="2592"/>
        <w:gridCol w:w="2592"/>
        <w:gridCol w:w="2592"/>
      </w:tblGrid>
      <w:tr>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STATUS</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TEAM</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DEMO</w:t>
            </w:r>
          </w:p>
        </w:tc>
        <w:tc>
          <w:tcPr>
            <w:tcW w:type="dxa" w:w="2592"/>
            <w:shd w:fill="0C1015"/>
            <w:tcBorders>
              <w:top w:val="single" w:sz="6" w:color="0C1015"/>
              <w:left w:val="single" w:sz="6" w:color="0C1015"/>
              <w:bottom w:val="single" w:sz="6" w:color="0C1015"/>
              <w:right w:val="single" w:sz="6" w:color="0C1015"/>
            </w:tcBorders>
            <w:tcMar>
              <w:top w:w="100" w:type="dxa"/>
              <w:start w:w="120" w:type="dxa"/>
              <w:bottom w:w="80" w:type="dxa"/>
              <w:end w:w="120" w:type="dxa"/>
            </w:tcMar>
          </w:tcPr>
          <w:p>
            <w:r>
              <w:rPr>
                <w:rFonts w:ascii="Liberation Sans" w:hAnsi="Liberation Sans"/>
                <w:b/>
                <w:color w:val="00B8C9"/>
                <w:sz w:val="14"/>
              </w:rPr>
              <w:t>SOURCE</w:t>
            </w:r>
          </w:p>
        </w:tc>
      </w:tr>
      <w:tr>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Working technical demonstration · Quality hardening</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Solo engineering project</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Controlled demo planned</w:t>
            </w:r>
          </w:p>
        </w:tc>
        <w:tc>
          <w:tcPr>
            <w:tcW w:type="dxa" w:w="2592"/>
            <w:shd w:fill="F5F7F8"/>
            <w:tcBorders>
              <w:top w:val="single" w:sz="6" w:color="DDE3E6"/>
              <w:left w:val="single" w:sz="6" w:color="DDE3E6"/>
              <w:bottom w:val="single" w:sz="6" w:color="DDE3E6"/>
              <w:right w:val="single" w:sz="6" w:color="DDE3E6"/>
            </w:tcBorders>
            <w:tcMar>
              <w:top w:w="100" w:type="dxa"/>
              <w:start w:w="120" w:type="dxa"/>
              <w:bottom w:w="100" w:type="dxa"/>
              <w:end w:w="120" w:type="dxa"/>
            </w:tcMar>
          </w:tcPr>
          <w:p>
            <w:r>
              <w:rPr>
                <w:rFonts w:ascii="Liberation Sans" w:hAnsi="Liberation Sans"/>
                <w:b/>
                <w:color w:val="111317"/>
                <w:sz w:val="16"/>
              </w:rPr>
              <w:t>Private repository</w:t>
            </w:r>
          </w:p>
        </w:tc>
      </w:tr>
    </w:tbl>
    <w:p/>
    <w:tbl>
      <w:tblPr>
        <w:tblW w:type="auto" w:w="0"/>
        <w:tblLook w:firstColumn="1" w:firstRow="1" w:lastColumn="0" w:lastRow="0" w:noHBand="0" w:noVBand="1" w:val="04A0"/>
      </w:tblPr>
      <w:tblGrid>
        <w:gridCol w:w="10370"/>
      </w:tblGrid>
      <w:tr>
        <w:tc>
          <w:tcPr>
            <w:tcW w:type="dxa" w:w="10370"/>
            <w:shd w:fill="0C1015"/>
            <w:tcBorders>
              <w:top w:val="single" w:sz="6" w:color="0C1015"/>
              <w:left w:val="single" w:sz="6" w:color="0C1015"/>
              <w:bottom w:val="single" w:sz="6" w:color="0C1015"/>
              <w:right w:val="single" w:sz="6" w:color="0C1015"/>
            </w:tcBorders>
            <w:tcMar>
              <w:top w:w="220" w:type="dxa"/>
              <w:start w:w="230" w:type="dxa"/>
              <w:bottom w:w="220" w:type="dxa"/>
              <w:end w:w="230" w:type="dxa"/>
            </w:tcMar>
          </w:tcPr>
          <w:p>
            <w:r>
              <w:rPr>
                <w:rFonts w:ascii="Liberation Sans" w:hAnsi="Liberation Sans"/>
                <w:b/>
                <w:color w:val="00B8C9"/>
                <w:sz w:val="16"/>
              </w:rPr>
              <w:t>WHY THIS PROJECT MATTERS</w:t>
            </w:r>
          </w:p>
          <w:p>
            <w:r>
              <w:rPr>
                <w:rFonts w:ascii="Liberation Sans" w:hAnsi="Liberation Sans"/>
                <w:b/>
                <w:color w:val="FFFFFF"/>
                <w:sz w:val="24"/>
              </w:rPr>
              <w:t>297 unique records transformed into a structured research dataset in the supplied run.</w:t>
            </w:r>
          </w:p>
          <w:p>
            <w:r>
              <w:rPr>
                <w:rFonts w:ascii="Liberation Sans" w:hAnsi="Liberation Sans"/>
                <w:b w:val="0"/>
                <w:color w:val="C7D0D8"/>
                <w:sz w:val="17"/>
              </w:rPr>
              <w:t>This case study is designed to be inspectable: strong claims are connected to screenshots, source evidence or explicitly stated limitations.</w:t>
            </w:r>
          </w:p>
        </w:tc>
      </w:tr>
    </w:tbl>
    <w:sectPr w:rsidR="00FC693F" w:rsidRPr="0006063C" w:rsidSect="00034616">
      <w:headerReference w:type="default" r:id="rId9"/>
      <w:footerReference w:type="default" r:id="rId10"/>
      <w:pgSz w:w="12240" w:h="15840"/>
      <w:pgMar w:top="850" w:right="935" w:bottom="822" w:left="93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Liberation Sans" w:hAnsi="Liberation Sans"/>
        <w:b w:val="0"/>
        <w:color w:val="5F6872"/>
        <w:sz w:val="14"/>
      </w:rPr>
      <w:t>Full-Stack Product Engineer  ·  anass.benameur@outlook.com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Liberation Sans" w:hAnsi="Liberation Sans"/>
        <w:b/>
        <w:color w:val="00B8C9"/>
        <w:sz w:val="15"/>
      </w:rPr>
      <w:t>ANASS BENAMEUR  /  CASE STUDY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Liberation Sans" w:hAnsi="Liberation Sans"/>
      <w:color w:val="111317"/>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100"/>
      <w:outlineLvl w:val="0"/>
    </w:pPr>
    <w:rPr>
      <w:rFonts w:asciiTheme="majorHAnsi" w:eastAsiaTheme="majorEastAsia" w:hAnsiTheme="majorHAnsi" w:cstheme="majorBidi" w:ascii="Liberation Sans" w:hAnsi="Liberation Sans"/>
      <w:b/>
      <w:bCs/>
      <w:color w:val="111317"/>
      <w:sz w:val="40"/>
      <w:szCs w:val="28"/>
    </w:rPr>
  </w:style>
  <w:style w:type="paragraph" w:styleId="Heading2">
    <w:name w:val="heading 2"/>
    <w:basedOn w:val="Normal"/>
    <w:next w:val="Normal"/>
    <w:link w:val="Heading2Char"/>
    <w:uiPriority w:val="9"/>
    <w:unhideWhenUsed/>
    <w:qFormat/>
    <w:rsid w:val="00FC693F"/>
    <w:pPr>
      <w:keepNext/>
      <w:keepLines/>
      <w:spacing w:before="100" w:after="100"/>
      <w:outlineLvl w:val="1"/>
    </w:pPr>
    <w:rPr>
      <w:rFonts w:asciiTheme="majorHAnsi" w:eastAsiaTheme="majorEastAsia" w:hAnsiTheme="majorHAnsi" w:cstheme="majorBidi" w:ascii="Liberation Sans" w:hAnsi="Liberation Sans"/>
      <w:b/>
      <w:bCs/>
      <w:color w:val="00B8C9"/>
      <w:sz w:val="26"/>
      <w:szCs w:val="26"/>
    </w:rPr>
  </w:style>
  <w:style w:type="paragraph" w:styleId="Heading3">
    <w:name w:val="heading 3"/>
    <w:basedOn w:val="Normal"/>
    <w:next w:val="Normal"/>
    <w:link w:val="Heading3Char"/>
    <w:uiPriority w:val="9"/>
    <w:unhideWhenUsed/>
    <w:qFormat/>
    <w:rsid w:val="00FC693F"/>
    <w:pPr>
      <w:keepNext/>
      <w:keepLines/>
      <w:spacing w:before="80" w:after="100"/>
      <w:outlineLvl w:val="2"/>
    </w:pPr>
    <w:rPr>
      <w:rFonts w:asciiTheme="majorHAnsi" w:eastAsiaTheme="majorEastAsia" w:hAnsiTheme="majorHAnsi" w:cstheme="majorBidi" w:ascii="Liberation Sans" w:hAnsi="Liberation Sans"/>
      <w:b/>
      <w:bCs/>
      <w:color w:val="111317"/>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200"/>
      <w:contextualSpacing/>
    </w:pPr>
    <w:rPr>
      <w:rFonts w:asciiTheme="majorHAnsi" w:eastAsiaTheme="majorEastAsia" w:hAnsiTheme="majorHAnsi" w:cstheme="majorBidi" w:ascii="Liberation Sans" w:hAnsi="Liberation Sans"/>
      <w:b/>
      <w:color w:val="111317"/>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Market Intelligence &amp; Prospect Discovery Engine — Case Study</dc:title>
  <dc:subject>Portfolio case study</dc:subject>
  <dc:creator>Anass Benameur</dc:creator>
  <cp:keywords>Full-stack, product engineering, case study</cp:keywords>
  <dc:description>generated by python-docx</dc:description>
  <cp:lastModifiedBy/>
  <cp:revision>1</cp:revision>
  <dcterms:created xsi:type="dcterms:W3CDTF">2013-12-23T23:15:00Z</dcterms:created>
  <dcterms:modified xsi:type="dcterms:W3CDTF">2013-12-23T23:15:00Z</dcterms:modified>
  <cp:category/>
</cp:coreProperties>
</file>