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06 / INSTITUTIONAL PROJECT</w:t>
      </w:r>
    </w:p>
    <w:p>
      <w:pPr>
        <w:pStyle w:val="Title"/>
      </w:pPr>
      <w:r>
        <w:rPr>
          <w:rFonts w:ascii="Liberation Sans" w:hAnsi="Liberation Sans"/>
          <w:b/>
          <w:color w:val="111317"/>
          <w:sz w:val="58"/>
        </w:rPr>
        <w:t>Centralizing institutional stock movements, threshold alerts and reporting</w:t>
      </w:r>
    </w:p>
    <w:p>
      <w:pPr>
        <w:spacing w:after="240"/>
      </w:pPr>
      <w:r>
        <w:rPr>
          <w:rFonts w:ascii="Liberation Sans" w:hAnsi="Liberation Sans"/>
          <w:b w:val="0"/>
          <w:color w:val="5F6872"/>
          <w:sz w:val="24"/>
        </w:rPr>
        <w:t>A Laravel inventory portal built from administrative requirements to centralize products, movements, low-stock alerts and formal reporting.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STATUS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TEAM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DEMO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SOURCE</w:t>
            </w:r>
          </w:p>
        </w:tc>
      </w:tr>
      <w:tr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Academic delivery · Visual evidence pending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Solo internship project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Demo pending source recovery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Source not currently published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76000" cy="268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itutional-stock-evidence-ma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68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Liberation Sans" w:hAnsi="Liberation Sans"/>
          <w:b w:val="0"/>
          <w:color w:val="5F6872"/>
          <w:sz w:val="15"/>
        </w:rPr>
        <w:t>Evidence status map - no interface has been fabricated.</w:t>
      </w:r>
    </w:p>
    <w:p>
      <w:pPr>
        <w:jc w:val="center"/>
      </w:pPr>
      <w:r>
        <w:rPr>
          <w:rFonts w:ascii="Liberation Sans" w:hAnsi="Liberation Sans"/>
          <w:b/>
          <w:color w:val="00B8C9"/>
          <w:sz w:val="16"/>
        </w:rPr>
        <w:t>ANASS BENAMEUR · FULL-STACK PRODUCT ENGINEER</w:t>
      </w:r>
    </w:p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EXECUTIVE SUMMARY</w:t>
      </w:r>
    </w:p>
    <w:p>
      <w:pPr>
        <w:pStyle w:val="Heading1"/>
      </w:pPr>
      <w:r>
        <w:t>The product, the problem and the proof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During a final internship at Faculté Chariaa in Fès, I built a stock-management portal directly from requirements gathered with administrative stakeholders — the kind of engagement where continuity and traceability matter more than visual polish, and where the requirements-gathering itself is half the engineering work.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F5F7F8"/>
            <w:tcBorders>
              <w:top w:val="single" w:sz="5" w:color="DDE3E6"/>
              <w:left w:val="single" w:sz="5" w:color="DDE3E6"/>
              <w:bottom w:val="single" w:sz="5" w:color="DDE3E6"/>
              <w:right w:val="single" w:sz="5" w:color="DDE3E6"/>
            </w:tcBorders>
            <w:tcMar>
              <w:top w:w="150" w:type="dxa"/>
              <w:start w:w="150" w:type="dxa"/>
              <w:bottom w:w="150" w:type="dxa"/>
              <w:end w:w="150" w:type="dxa"/>
            </w:tcMar>
            <w:vAlign w:val="center"/>
          </w:tcPr>
          <w:p>
            <w:pPr>
              <w:jc w:val="left"/>
            </w:pPr>
            <w:r>
              <w:rPr>
                <w:rFonts w:ascii="Liberation Sans" w:hAnsi="Liberation Sans"/>
                <w:b/>
                <w:color w:val="111317"/>
                <w:sz w:val="34"/>
              </w:rPr>
              <w:t>Feb–May 2025</w:t>
            </w:r>
          </w:p>
          <w:p>
            <w:pPr>
              <w:spacing w:after="0"/>
            </w:pPr>
            <w:r>
              <w:rPr>
                <w:rFonts w:ascii="Liberation Sans" w:hAnsi="Liberation Sans"/>
                <w:b/>
                <w:color w:val="5F6872"/>
                <w:sz w:val="14"/>
              </w:rPr>
              <w:t>INTERNSHIP PERIOD</w:t>
            </w:r>
          </w:p>
        </w:tc>
        <w:tc>
          <w:tcPr>
            <w:tcW w:type="dxa" w:w="2592"/>
            <w:shd w:fill="F5F7F8"/>
            <w:tcBorders>
              <w:top w:val="single" w:sz="5" w:color="DDE3E6"/>
              <w:left w:val="single" w:sz="5" w:color="DDE3E6"/>
              <w:bottom w:val="single" w:sz="5" w:color="DDE3E6"/>
              <w:right w:val="single" w:sz="5" w:color="DDE3E6"/>
            </w:tcBorders>
            <w:tcMar>
              <w:top w:w="150" w:type="dxa"/>
              <w:start w:w="150" w:type="dxa"/>
              <w:bottom w:w="150" w:type="dxa"/>
              <w:end w:w="150" w:type="dxa"/>
            </w:tcMar>
            <w:vAlign w:val="center"/>
          </w:tcPr>
          <w:p>
            <w:pPr>
              <w:jc w:val="left"/>
            </w:pPr>
            <w:r>
              <w:rPr>
                <w:rFonts w:ascii="Liberation Sans" w:hAnsi="Liberation Sans"/>
                <w:b/>
                <w:color w:val="111317"/>
                <w:sz w:val="34"/>
              </w:rPr>
              <w:t>Full cycle</w:t>
            </w:r>
          </w:p>
          <w:p>
            <w:pPr>
              <w:spacing w:after="0"/>
            </w:pPr>
            <w:r>
              <w:rPr>
                <w:rFonts w:ascii="Liberation Sans" w:hAnsi="Liberation Sans"/>
                <w:b/>
                <w:color w:val="5F6872"/>
                <w:sz w:val="14"/>
              </w:rPr>
              <w:t>ANALYSIS TO DOCUMENTATION</w:t>
            </w:r>
          </w:p>
        </w:tc>
        <w:tc>
          <w:tcPr>
            <w:tcW w:type="dxa" w:w="2592"/>
            <w:shd w:fill="F5F7F8"/>
            <w:tcBorders>
              <w:top w:val="single" w:sz="5" w:color="DDE3E6"/>
              <w:left w:val="single" w:sz="5" w:color="DDE3E6"/>
              <w:bottom w:val="single" w:sz="5" w:color="DDE3E6"/>
              <w:right w:val="single" w:sz="5" w:color="DDE3E6"/>
            </w:tcBorders>
            <w:tcMar>
              <w:top w:w="150" w:type="dxa"/>
              <w:start w:w="150" w:type="dxa"/>
              <w:bottom w:w="150" w:type="dxa"/>
              <w:end w:w="150" w:type="dxa"/>
            </w:tcMar>
            <w:vAlign w:val="center"/>
          </w:tcPr>
          <w:p>
            <w:pPr>
              <w:jc w:val="left"/>
            </w:pPr>
            <w:r>
              <w:rPr>
                <w:rFonts w:ascii="Liberation Sans" w:hAnsi="Liberation Sans"/>
                <w:b/>
                <w:color w:val="111317"/>
                <w:sz w:val="34"/>
              </w:rPr>
              <w:t>Thresholds</w:t>
            </w:r>
          </w:p>
          <w:p>
            <w:pPr>
              <w:spacing w:after="0"/>
            </w:pPr>
            <w:r>
              <w:rPr>
                <w:rFonts w:ascii="Liberation Sans" w:hAnsi="Liberation Sans"/>
                <w:b/>
                <w:color w:val="5F6872"/>
                <w:sz w:val="14"/>
              </w:rPr>
              <w:t>CONFIGURABLE STOCK ALERTS</w:t>
            </w:r>
          </w:p>
        </w:tc>
        <w:tc>
          <w:tcPr>
            <w:tcW w:type="dxa" w:w="2592"/>
            <w:shd w:fill="F5F7F8"/>
            <w:tcBorders>
              <w:top w:val="single" w:sz="5" w:color="DDE3E6"/>
              <w:left w:val="single" w:sz="5" w:color="DDE3E6"/>
              <w:bottom w:val="single" w:sz="5" w:color="DDE3E6"/>
              <w:right w:val="single" w:sz="5" w:color="DDE3E6"/>
            </w:tcBorders>
            <w:tcMar>
              <w:top w:w="150" w:type="dxa"/>
              <w:start w:w="150" w:type="dxa"/>
              <w:bottom w:w="150" w:type="dxa"/>
              <w:end w:w="150" w:type="dxa"/>
            </w:tcMar>
            <w:vAlign w:val="center"/>
          </w:tcPr>
          <w:p>
            <w:pPr>
              <w:jc w:val="left"/>
            </w:pPr>
            <w:r>
              <w:rPr>
                <w:rFonts w:ascii="Liberation Sans" w:hAnsi="Liberation Sans"/>
                <w:b/>
                <w:color w:val="111317"/>
                <w:sz w:val="34"/>
              </w:rPr>
              <w:t>2 formats</w:t>
            </w:r>
          </w:p>
          <w:p>
            <w:pPr>
              <w:spacing w:after="0"/>
            </w:pPr>
            <w:r>
              <w:rPr>
                <w:rFonts w:ascii="Liberation Sans" w:hAnsi="Liberation Sans"/>
                <w:b/>
                <w:color w:val="5F6872"/>
                <w:sz w:val="14"/>
              </w:rPr>
              <w:t>EXCEL AND PDF REPORTING</w:t>
            </w:r>
          </w:p>
        </w:tc>
      </w:tr>
    </w:tbl>
    <w:p>
      <w:pPr>
        <w:spacing w:after="20"/>
      </w:pPr>
    </w:p>
    <w:p>
      <w:pPr>
        <w:pStyle w:val="Heading2"/>
      </w:pPr>
      <w:r>
        <w:t>Context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A public university environment, where a stock system has to survive staff turnover and produce reports that satisfy an administrative audit trail, not just look good in a demo. Between February and May 2025, I worked directly with administrative stakeholders to define the requirements before writing a line of code.</w:t>
      </w:r>
    </w:p>
    <w:p>
      <w:pPr>
        <w:pStyle w:val="Heading2"/>
      </w:pPr>
      <w:r>
        <w:t>My role and ownership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Stakeholder requirements analysis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Merise data modelling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Laravel backend and Blade interface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Functional testing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Documentation and handoff preparation</w:t>
      </w:r>
    </w:p>
    <w:p>
      <w:pPr>
        <w:pStyle w:val="Heading2"/>
      </w:pPr>
      <w:r>
        <w:t>Personal contribution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Requirements, modelling, implementation, testing and documentation.</w:t>
      </w:r>
    </w:p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PROBLEM</w:t>
      </w:r>
    </w:p>
    <w:p>
      <w:pPr>
        <w:pStyle w:val="Heading1"/>
      </w:pPr>
      <w:r>
        <w:t>Why the existing workflow needed a system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Manual stock checking meant nobody could answer "how much do we actually have" without walking to the shelf. Low-stock situations were caught late because nothing was watching thresholds. And there was no single, reconstructable history of what entered and left inventory — exactly the kind of gap an administrative audit finds.</w:t>
      </w:r>
    </w:p>
    <w:p>
      <w:pPr>
        <w:pStyle w:val="Heading2"/>
      </w:pPr>
      <w:r>
        <w:t>Before and after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5185"/>
            <w:shd w:fill="FFF2F2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Liberation Sans" w:hAnsi="Liberation Sans"/>
                <w:b/>
                <w:color w:val="C84B4B"/>
                <w:sz w:val="20"/>
              </w:rPr>
              <w:t>BEFORE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C84B4B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Manual or fragmented product records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C84B4B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Stock levels checked reactively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C84B4B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Movement history difficult to reconstruct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C84B4B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Reports assembled separately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C84B4B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Limited administrative visibility</w:t>
            </w:r>
          </w:p>
        </w:tc>
        <w:tc>
          <w:tcPr>
            <w:tcW w:type="dxa" w:w="5185"/>
            <w:shd w:fill="ECF9EE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Liberation Sans" w:hAnsi="Liberation Sans"/>
                <w:b/>
                <w:color w:val="2B8A57"/>
                <w:sz w:val="20"/>
              </w:rPr>
              <w:t>AFTER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2B8A57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Centralized product and stock records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2B8A57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Entry and exit movement history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2B8A57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Automatic threshold-alert logic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2B8A57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Excel and PDF exports</w:t>
            </w:r>
          </w:p>
          <w:p>
            <w:pPr>
              <w:spacing w:after="80"/>
              <w:ind w:left="85"/>
            </w:pPr>
            <w:r>
              <w:rPr>
                <w:rFonts w:ascii="Liberation Sans" w:hAnsi="Liberation Sans"/>
                <w:b/>
                <w:color w:val="2B8A57"/>
                <w:sz w:val="18"/>
              </w:rPr>
              <w:t xml:space="preserve">• </w:t>
            </w:r>
            <w:r>
              <w:rPr>
                <w:rFonts w:ascii="Liberation Sans" w:hAnsi="Liberation Sans"/>
                <w:b w:val="0"/>
                <w:color w:val="111317"/>
                <w:sz w:val="17"/>
              </w:rPr>
              <w:t>Documented institutional workflow</w:t>
            </w:r>
          </w:p>
        </w:tc>
      </w:tr>
    </w:tbl>
    <w:p/>
    <w:p>
      <w:pPr>
        <w:pStyle w:val="Heading2"/>
      </w:pPr>
      <w:r>
        <w:t>Meaningful result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Centralized movement history, threshold alerts and formal inventory reporting.</w:t>
      </w:r>
    </w:p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SOLUTION</w:t>
      </w:r>
    </w:p>
    <w:p>
      <w:pPr>
        <w:pStyle w:val="Heading1"/>
      </w:pPr>
      <w:r>
        <w:t>How the system works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Products and movements share one relational core, modelled with Merise before a line of code was written and reviewed with the stakeholder group so the data model was agreed on, not just assumed. Configurable thresholds trigger alerts when stock drops below a set level per product, rather than relying on someone remembering to check manually.</w:t>
      </w:r>
    </w:p>
    <w:p>
      <w:pPr>
        <w:pStyle w:val="Heading2"/>
      </w:pPr>
      <w:r>
        <w:t>Operational workflow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20" w:type="dxa"/>
              <w:start w:w="105" w:type="dxa"/>
              <w:bottom w:w="120" w:type="dxa"/>
              <w:end w:w="105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01</w:t>
            </w:r>
          </w:p>
          <w:p>
            <w:r>
              <w:rPr>
                <w:rFonts w:ascii="Liberation Sans" w:hAnsi="Liberation Sans"/>
                <w:b/>
                <w:color w:val="111317"/>
                <w:sz w:val="18"/>
              </w:rPr>
              <w:t>Product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5"/>
              </w:rPr>
              <w:t>Reference and category</w:t>
            </w:r>
          </w:p>
        </w:tc>
        <w:tc>
          <w:tcPr>
            <w:tcW w:type="dxa" w:w="2074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20" w:type="dxa"/>
              <w:start w:w="105" w:type="dxa"/>
              <w:bottom w:w="120" w:type="dxa"/>
              <w:end w:w="105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02</w:t>
            </w:r>
          </w:p>
          <w:p>
            <w:r>
              <w:rPr>
                <w:rFonts w:ascii="Liberation Sans" w:hAnsi="Liberation Sans"/>
                <w:b/>
                <w:color w:val="111317"/>
                <w:sz w:val="18"/>
              </w:rPr>
              <w:t>Entry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5"/>
              </w:rPr>
              <w:t>Quantity received</w:t>
            </w:r>
          </w:p>
        </w:tc>
        <w:tc>
          <w:tcPr>
            <w:tcW w:type="dxa" w:w="2074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20" w:type="dxa"/>
              <w:start w:w="105" w:type="dxa"/>
              <w:bottom w:w="120" w:type="dxa"/>
              <w:end w:w="105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03</w:t>
            </w:r>
          </w:p>
          <w:p>
            <w:r>
              <w:rPr>
                <w:rFonts w:ascii="Liberation Sans" w:hAnsi="Liberation Sans"/>
                <w:b/>
                <w:color w:val="111317"/>
                <w:sz w:val="18"/>
              </w:rPr>
              <w:t>Exit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5"/>
              </w:rPr>
              <w:t>Quantity issued</w:t>
            </w:r>
          </w:p>
        </w:tc>
        <w:tc>
          <w:tcPr>
            <w:tcW w:type="dxa" w:w="2074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20" w:type="dxa"/>
              <w:start w:w="105" w:type="dxa"/>
              <w:bottom w:w="120" w:type="dxa"/>
              <w:end w:w="105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04</w:t>
            </w:r>
          </w:p>
          <w:p>
            <w:r>
              <w:rPr>
                <w:rFonts w:ascii="Liberation Sans" w:hAnsi="Liberation Sans"/>
                <w:b/>
                <w:color w:val="111317"/>
                <w:sz w:val="18"/>
              </w:rPr>
              <w:t>Threshold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5"/>
              </w:rPr>
              <w:t>Low-stock alert</w:t>
            </w:r>
          </w:p>
        </w:tc>
        <w:tc>
          <w:tcPr>
            <w:tcW w:type="dxa" w:w="2074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20" w:type="dxa"/>
              <w:start w:w="105" w:type="dxa"/>
              <w:bottom w:w="120" w:type="dxa"/>
              <w:end w:w="105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05</w:t>
            </w:r>
          </w:p>
          <w:p>
            <w:r>
              <w:rPr>
                <w:rFonts w:ascii="Liberation Sans" w:hAnsi="Liberation Sans"/>
                <w:b/>
                <w:color w:val="111317"/>
                <w:sz w:val="18"/>
              </w:rPr>
              <w:t>Report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5"/>
              </w:rPr>
              <w:t>Excel / PDF history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76000" cy="2689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itutional-stock-architectur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68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Liberation Sans" w:hAnsi="Liberation Sans"/>
          <w:b w:val="0"/>
          <w:color w:val="5F6872"/>
          <w:sz w:val="15"/>
        </w:rPr>
        <w:t>Every movement — entry, exit, adjustment — writes to a history that Excel and PDF reports generate from directly, so a printed report reflects the same data an administrator would see on screen, not a separately maintained summary that can quietly drift out of sync with reality. The lifecycle, step by step:</w:t>
      </w:r>
    </w:p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ENGINEERING</w:t>
      </w:r>
    </w:p>
    <w:p>
      <w:pPr>
        <w:pStyle w:val="Heading1"/>
      </w:pPr>
      <w:r>
        <w:t>Architecture and decisions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The documented stack is Laravel, MySQL, Blade and MVC in a straightforward structure — the standard, unglamorous choice, deliberate for an institution that needs long-term maintainability over novelty. Requirements and data relationships were modelled with Merise before implementation began.</w:t>
      </w:r>
    </w:p>
    <w:p>
      <w:pPr>
        <w:pStyle w:val="Heading2"/>
      </w:pPr>
      <w:r>
        <w:t>Critical engineering decisions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5185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50" w:type="dxa"/>
              <w:start w:w="160" w:type="dxa"/>
              <w:bottom w:w="150" w:type="dxa"/>
              <w:end w:w="16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DECISION 01</w:t>
            </w:r>
          </w:p>
          <w:p>
            <w:r>
              <w:rPr>
                <w:rFonts w:ascii="Liberation Sans" w:hAnsi="Liberation Sans"/>
                <w:b/>
                <w:color w:val="111317"/>
                <w:sz w:val="20"/>
              </w:rPr>
              <w:t>Model movement history explicitly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6"/>
              </w:rPr>
              <w:t>Inventory must remain explainable through entries and exits rather than only a mutable quantity field.</w:t>
            </w:r>
          </w:p>
        </w:tc>
        <w:tc>
          <w:tcPr>
            <w:tcW w:type="dxa" w:w="5185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50" w:type="dxa"/>
              <w:start w:w="160" w:type="dxa"/>
              <w:bottom w:w="150" w:type="dxa"/>
              <w:end w:w="16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DECISION 02</w:t>
            </w:r>
          </w:p>
          <w:p>
            <w:r>
              <w:rPr>
                <w:rFonts w:ascii="Liberation Sans" w:hAnsi="Liberation Sans"/>
                <w:b/>
                <w:color w:val="111317"/>
                <w:sz w:val="20"/>
              </w:rPr>
              <w:t>Thresholds as an operational control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6"/>
              </w:rPr>
              <w:t>Administrators need early warning instead of discovering shortages during a request.</w:t>
            </w:r>
          </w:p>
        </w:tc>
      </w:tr>
      <w:tr>
        <w:tc>
          <w:tcPr>
            <w:tcW w:type="dxa" w:w="5185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50" w:type="dxa"/>
              <w:start w:w="160" w:type="dxa"/>
              <w:bottom w:w="150" w:type="dxa"/>
              <w:end w:w="16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DECISION 03</w:t>
            </w:r>
          </w:p>
          <w:p>
            <w:r>
              <w:rPr>
                <w:rFonts w:ascii="Liberation Sans" w:hAnsi="Liberation Sans"/>
                <w:b/>
                <w:color w:val="111317"/>
                <w:sz w:val="20"/>
              </w:rPr>
              <w:t>Formal export formats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6"/>
              </w:rPr>
              <w:t>Excel supports analysis while PDF supports stable administrative circulation.</w:t>
            </w:r>
          </w:p>
        </w:tc>
        <w:tc>
          <w:tcPr>
            <w:tcW w:type="dxa" w:w="5185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50" w:type="dxa"/>
              <w:start w:w="160" w:type="dxa"/>
              <w:bottom w:w="150" w:type="dxa"/>
              <w:end w:w="16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DECISION 04</w:t>
            </w:r>
          </w:p>
          <w:p>
            <w:r>
              <w:rPr>
                <w:rFonts w:ascii="Liberation Sans" w:hAnsi="Liberation Sans"/>
                <w:b/>
                <w:color w:val="111317"/>
                <w:sz w:val="20"/>
              </w:rPr>
              <w:t>Document the complete lifecycle</w:t>
            </w:r>
          </w:p>
          <w:p>
            <w:r>
              <w:rPr>
                <w:rFonts w:ascii="Liberation Sans" w:hAnsi="Liberation Sans"/>
                <w:b w:val="0"/>
                <w:color w:val="5F6872"/>
                <w:sz w:val="16"/>
              </w:rPr>
              <w:t>Institutional adoption depends on requirements, testing and documentation as much as on code.</w:t>
            </w:r>
          </w:p>
        </w:tc>
      </w:tr>
    </w:tbl>
    <w:p/>
    <w:p>
      <w:pPr>
        <w:pStyle w:val="Heading2"/>
      </w:pPr>
      <w:r>
        <w:t>Technology stack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Laravel</w:t>
            </w:r>
          </w:p>
        </w:tc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PHP</w:t>
            </w:r>
          </w:p>
        </w:tc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MySQL</w:t>
            </w:r>
          </w:p>
        </w:tc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Blade</w:t>
            </w:r>
          </w:p>
        </w:tc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Merise</w:t>
            </w:r>
          </w:p>
        </w:tc>
        <w:tc>
          <w:tcPr>
            <w:tcW w:type="dxa" w:w="1728"/>
            <w:shd w:fill="DFF8FA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90" w:type="dxa"/>
              <w:start w:w="80" w:type="dxa"/>
              <w:bottom w:w="90" w:type="dxa"/>
              <w:end w:w="80" w:type="dxa"/>
            </w:tcMar>
          </w:tcPr>
          <w:p>
            <w:pPr>
              <w:jc w:val="center"/>
            </w:pPr>
            <w:r>
              <w:rPr>
                <w:rFonts w:ascii="Liberation Sans" w:hAnsi="Liberation Sans"/>
                <w:b/>
                <w:color w:val="111317"/>
                <w:sz w:val="15"/>
              </w:rPr>
              <w:t>Excel / PDF</w:t>
            </w:r>
          </w:p>
        </w:tc>
      </w:tr>
    </w:tbl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VISUAL PROOF</w:t>
      </w:r>
    </w:p>
    <w:p>
      <w:pPr>
        <w:pStyle w:val="Heading1"/>
      </w:pPr>
      <w:r>
        <w:t>Evidence 1 of 1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2592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itutional-stock-evidence-ma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9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Liberation Sans" w:hAnsi="Liberation Sans"/>
          <w:b w:val="0"/>
          <w:color w:val="5F6872"/>
          <w:sz w:val="15"/>
        </w:rPr>
        <w:t>Evidence map explaining what is verified and what remains pending.</w:t>
      </w:r>
    </w:p>
    <w:p>
      <w:r>
        <w:br w:type="page"/>
      </w:r>
    </w:p>
    <w:p>
      <w:pPr>
        <w:spacing w:after="60"/>
      </w:pPr>
      <w:r>
        <w:rPr>
          <w:rFonts w:ascii="Liberation Sans" w:hAnsi="Liberation Sans"/>
          <w:b/>
          <w:color w:val="00B8C9"/>
          <w:sz w:val="16"/>
        </w:rPr>
        <w:t>OUTCOME</w:t>
      </w:r>
    </w:p>
    <w:p>
      <w:pPr>
        <w:pStyle w:val="Heading1"/>
      </w:pPr>
      <w:r>
        <w:t>Value, proof and honest limitations</w:t>
      </w:r>
    </w:p>
    <w:p>
      <w:pPr>
        <w:pStyle w:val="Heading2"/>
      </w:pPr>
      <w:r>
        <w:t>Operational impact</w:t>
      </w:r>
    </w:p>
    <w:p>
      <w:pPr>
        <w:jc w:val="both"/>
      </w:pPr>
      <w:r>
        <w:rPr>
          <w:rFonts w:ascii="Liberation Sans" w:hAnsi="Liberation Sans"/>
          <w:b w:val="0"/>
          <w:color w:val="111317"/>
          <w:sz w:val="19"/>
        </w:rPr>
        <w:t>The delivered system gave the institution centralized product records, a reconstructable movement history, automatic low-stock alerts, and reports generated straight from the operational data instead of assembled separately — a complete requirements-to-documentation cycle over a February to May 2025 internship.</w:t>
      </w:r>
    </w:p>
    <w:p>
      <w:pPr>
        <w:pStyle w:val="Heading2"/>
      </w:pPr>
      <w:r>
        <w:t>Verified evidence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CV documents the internship, stack and complete delivery cycle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Threshold alerts, movement history and Excel/PDF exports are consistently documented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Requirements analysis and Merise modelling were part of the project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Visual proof remains pending and is clearly disclosed</w:t>
      </w:r>
    </w:p>
    <w:p>
      <w:pPr>
        <w:pStyle w:val="Heading2"/>
      </w:pPr>
      <w:r>
        <w:t>Current limitations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No project screenshots were included in the supplied screenshot archive.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No source archive or live runtime was supplied for independent verification.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The project should not be presented as a final visual showcase until dashboard, movement, alert and export captures are added.</w:t>
      </w:r>
    </w:p>
    <w:p>
      <w:pPr>
        <w:pStyle w:val="ListBullet"/>
        <w:spacing w:after="60"/>
      </w:pPr>
      <w:r>
        <w:rPr>
          <w:rFonts w:ascii="Liberation Sans" w:hAnsi="Liberation Sans"/>
          <w:b w:val="0"/>
          <w:color w:val="111317"/>
          <w:sz w:val="18"/>
        </w:rPr>
        <w:t>No numerical impact is claimed without institutional measurement.</w:t>
      </w:r>
    </w:p>
    <w:p>
      <w:pPr>
        <w:pStyle w:val="Heading2"/>
      </w:pPr>
      <w:r>
        <w:t>Current status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STATUS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TEAM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DEMO</w:t>
            </w:r>
          </w:p>
        </w:tc>
        <w:tc>
          <w:tcPr>
            <w:tcW w:type="dxa" w:w="2592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10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4"/>
              </w:rPr>
              <w:t>SOURCE</w:t>
            </w:r>
          </w:p>
        </w:tc>
      </w:tr>
      <w:tr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Academic delivery · Visual evidence pending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Solo internship project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Demo pending source recovery</w:t>
            </w:r>
          </w:p>
        </w:tc>
        <w:tc>
          <w:tcPr>
            <w:tcW w:type="dxa" w:w="2592"/>
            <w:shd w:fill="F5F7F8"/>
            <w:tcBorders>
              <w:top w:val="single" w:sz="6" w:color="DDE3E6"/>
              <w:left w:val="single" w:sz="6" w:color="DDE3E6"/>
              <w:bottom w:val="single" w:sz="6" w:color="DDE3E6"/>
              <w:right w:val="single" w:sz="6" w:color="DDE3E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Liberation Sans" w:hAnsi="Liberation Sans"/>
                <w:b/>
                <w:color w:val="111317"/>
                <w:sz w:val="16"/>
              </w:rPr>
              <w:t>Source not currently published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0C1015"/>
            <w:tcBorders>
              <w:top w:val="single" w:sz="6" w:color="0C1015"/>
              <w:left w:val="single" w:sz="6" w:color="0C1015"/>
              <w:bottom w:val="single" w:sz="6" w:color="0C1015"/>
              <w:right w:val="single" w:sz="6" w:color="0C1015"/>
            </w:tcBorders>
            <w:tcMar>
              <w:top w:w="220" w:type="dxa"/>
              <w:start w:w="230" w:type="dxa"/>
              <w:bottom w:w="220" w:type="dxa"/>
              <w:end w:w="230" w:type="dxa"/>
            </w:tcMar>
          </w:tcPr>
          <w:p>
            <w:r>
              <w:rPr>
                <w:rFonts w:ascii="Liberation Sans" w:hAnsi="Liberation Sans"/>
                <w:b/>
                <w:color w:val="00B8C9"/>
                <w:sz w:val="16"/>
              </w:rPr>
              <w:t>WHY THIS PROJECT MATTERS</w:t>
            </w:r>
          </w:p>
          <w:p>
            <w:r>
              <w:rPr>
                <w:rFonts w:ascii="Liberation Sans" w:hAnsi="Liberation Sans"/>
                <w:b/>
                <w:color w:val="FFFFFF"/>
                <w:sz w:val="24"/>
              </w:rPr>
              <w:t>Centralized movement history, threshold alerts and formal inventory reporting.</w:t>
            </w:r>
          </w:p>
          <w:p>
            <w:r>
              <w:rPr>
                <w:rFonts w:ascii="Liberation Sans" w:hAnsi="Liberation Sans"/>
                <w:b w:val="0"/>
                <w:color w:val="C7D0D8"/>
                <w:sz w:val="17"/>
              </w:rPr>
              <w:t>This case study is designed to be inspectable: strong claims are connected to screenshots, source evidence or explicitly stated limitations.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50" w:right="935" w:bottom="822" w:left="9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Liberation Sans" w:hAnsi="Liberation Sans"/>
        <w:b w:val="0"/>
        <w:color w:val="5F6872"/>
        <w:sz w:val="14"/>
      </w:rPr>
      <w:t>Full-Stack Product Engineer  ·  anass.benameur@outlook.com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Liberation Sans" w:hAnsi="Liberation Sans"/>
        <w:b/>
        <w:color w:val="00B8C9"/>
        <w:sz w:val="15"/>
      </w:rPr>
      <w:t>ANASS BENAMEUR  /  CASE STUDY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Liberation Sans" w:hAnsi="Liberation Sans"/>
      <w:color w:val="11131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Liberation Sans" w:hAnsi="Liberation Sans"/>
      <w:b/>
      <w:bCs/>
      <w:color w:val="11131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00" w:after="100"/>
      <w:outlineLvl w:val="1"/>
    </w:pPr>
    <w:rPr>
      <w:rFonts w:asciiTheme="majorHAnsi" w:eastAsiaTheme="majorEastAsia" w:hAnsiTheme="majorHAnsi" w:cstheme="majorBidi" w:ascii="Liberation Sans" w:hAnsi="Liberation Sans"/>
      <w:b/>
      <w:bCs/>
      <w:color w:val="00B8C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80" w:after="100"/>
      <w:outlineLvl w:val="2"/>
    </w:pPr>
    <w:rPr>
      <w:rFonts w:asciiTheme="majorHAnsi" w:eastAsiaTheme="majorEastAsia" w:hAnsiTheme="majorHAnsi" w:cstheme="majorBidi" w:ascii="Liberation Sans" w:hAnsi="Liberation Sans"/>
      <w:b/>
      <w:bCs/>
      <w:color w:val="111317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Liberation Sans" w:hAnsi="Liberation Sans"/>
      <w:b/>
      <w:color w:val="111317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Stock Management Portal — Case Study</dc:title>
  <dc:subject>Portfolio case study</dc:subject>
  <dc:creator>Anass Benameur</dc:creator>
  <cp:keywords>Full-stack, product engineering, case study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